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Off The Beaten Track WA</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114 Wattle Rd</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Serpentine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 Lindsey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0417 128 896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tracy@offthebeatentrackwa.com.au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https://offthebeatentrackwa.com.au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2026-10-20 19:54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External Paths</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Ramps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Toilets/Adult change facilities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1"/>
            <w:tabs>
              <w:tab w:val="right" w:leader="dot" w:pos="9016"/>
            </w:tabs>
            <w:spacing/>
            <w:rPr/>
          </w:pPr>
          <w:hyperlink w:anchor="_Toc0000000015" w:history="1">
            <w:r>
              <w:rPr>
                <w:rStyle w:val="Hyperlink"/>
              </w:rPr>
              <w:t xml:space="preserve">TOUR OPERATORS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Route Planning</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Guides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FOOD AND DRINK</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Dining Spaces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Report Disclaimer</w:t>
            </w:r>
            <w:r>
              <w:rPr/>
              <w:tab/>
              <w:t xml:space="preserve"/>
            </w:r>
            <w:r>
              <w:rPr/>
              <w:fldChar w:fldCharType="begin"/>
            </w:r>
            <w:r>
              <w:rPr/>
              <w:instrText>PAGEREF _Toc0000000020 \h</w:instrText>
            </w:r>
            <w:r>
              <w:rPr/>
              <w:fldChar w:fldCharType="separate"/>
            </w:r>
            <w:r>
              <w:rPr/>
              <w:t xml:space="preserve">11</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r>
        <w:rPr>
          <w:sz w:val="24"/>
        </w:rPr>
        <w:t xml:space="preserve">chrome-extension://efaidnbmnnnibpcajpcglclefindmkaj/</w:t>
      </w:r>
      <w:hyperlink r:id="rId22" w:history="1">
        <w:r>
          <w:rPr>
            <w:rStyle w:val="Hyperlink"/>
            <w:sz w:val="24"/>
          </w:rPr>
          <w:t xml:space="preserve">https://offthebeatentrackwa.com.au/wp-content/uploads/2023/06/ATICAccessibilityPublic.pdf</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3.2 N/A | Alternative communication methods, Voice, text, face-to-face/video</w:t>
      </w:r>
    </w:p>
    <w:p>
      <w:pPr>
        <w:pStyle w:val="ListBullet"/>
        <w:numPr>
          <w:ilvl w:val="0"/>
          <w:numId w:val="37"/>
        </w:numPr>
        <w:spacing/>
        <w:rPr/>
      </w:pPr>
      <w:r>
        <w:rPr/>
        <w:t xml:space="preserve">There is easy to read signage and information (e.g. menus and emergency information)</w:t>
      </w:r>
    </w:p>
    <w:p>
      <w:pPr>
        <w:pBdr/>
        <w:spacing/>
        <w:rPr>
          <w:sz w:val="24"/>
        </w:rPr>
      </w:pPr>
      <w:r>
        <w:rPr>
          <w:sz w:val="24"/>
        </w:rPr>
        <w:t xml:space="preserve">Picture Boards are used to demonstrate some interpretive content where the participant specifies this requirement in boking form/consult</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Bdr/>
        <w:spacing/>
        <w:rPr>
          <w:sz w:val="24"/>
        </w:rPr>
      </w:pPr>
      <w:r>
        <w:rPr>
          <w:sz w:val="24"/>
        </w:rPr>
        <w:t xml:space="preserve">The business provides the following services for services animals: Service animals are permitted to join the experience if required. They must stay leashed though due to 1080 baiting.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step free map/guide</w:t>
      </w:r>
    </w:p>
    <w:p>
      <w:pPr>
        <w:pStyle w:val="ListBullet"/>
        <w:numPr>
          <w:ilvl w:val="0"/>
          <w:numId w:val="37"/>
        </w:numPr>
        <w:spacing/>
        <w:rPr/>
      </w:pPr>
      <w:r>
        <w:rPr/>
        <w:t xml:space="preserve">A familiarisation tour</w:t>
      </w:r>
    </w:p>
    <w:p>
      <w:pPr>
        <w:pBdr/>
        <w:spacing/>
        <w:rPr>
          <w:sz w:val="24"/>
        </w:rPr>
      </w:pPr>
      <w:r>
        <w:rPr>
          <w:sz w:val="24"/>
        </w:rPr>
        <w:t xml:space="preserve">We do not have lockable facilities</w:t>
      </w:r>
    </w:p>
    <w:p>
      <w:pPr>
        <w:pBdr/>
        <w:spacing/>
        <w:rPr>
          <w:sz w:val="24"/>
        </w:rPr>
      </w:pPr>
      <w:r>
        <w:rPr>
          <w:sz w:val="24"/>
        </w:rPr>
        <w:t xml:space="preserve">The following steps are in place to ensure that people with fatigue related to their disability are not disadvantaged by long wait times: All our experiences are tailored for people living with a disability. For any of our accommodation based tours, we provide all the Guests details to the venue and manage the check in on their behalf.</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Information is provided on an as needs basis for our guests to ensure they can arrive at the Tour/Hike meeting point safely and with ease.</w:t>
      </w:r>
    </w:p>
    <w:p>
      <w:pPr>
        <w:pBdr/>
        <w:spacing/>
        <w:rPr>
          <w:sz w:val="24"/>
        </w:rPr>
      </w:pPr>
      <w:r>
        <w:rPr>
          <w:sz w:val="24"/>
        </w:rPr>
        <w:t xml:space="preserve">The width of the smallest corridor is: No corridors in nature</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In addition, the following further information can assist guests:</w:t>
      </w:r>
    </w:p>
    <w:p>
      <w:pPr>
        <w:spacing/>
        <w:rPr/>
      </w:pPr>
      <w:r>
        <w:rPr/>
        <w:t xml:space="preserve">We use nature trails with minimal signage/steps. The Guide verbalises and hazards and accompanies guests at all times. We generally adjust the route for the hike/tour if we have a guest with low vision/mobility to avoid steps and minimise risk.</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Various, but minimum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Heading1"/>
        <w:spacing w:line="420" w:lineRule="exact"/>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Route Planning</w:t>
      </w:r>
      <w:bookmarkEnd w:id="20"/>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N/A</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Overnight Stops</w:t>
      </w:r>
    </w:p>
    <w:p>
      <w:pPr>
        <w:pBdr/>
        <w:spacing/>
        <w:rPr>
          <w:sz w:val="24"/>
        </w:rPr>
      </w:pPr>
      <w:r>
        <w:rPr>
          <w:sz w:val="24"/>
        </w:rPr>
        <w:t xml:space="preserve">The total number of wheelchair passengers that can be catered for at overnight stops are: 2</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1" w:name="_Toc0000000017"/>
      <w:r>
        <w:rPr/>
        <w:t xml:space="preserve">Guides</w:t>
      </w:r>
      <w:bookmarkEnd w:id="21"/>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435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435100"/>
                    </a:xfrm>
                    <a:prstGeom prst="rect">
                      <a:avLst/>
                    </a:prstGeom>
                  </pic:spPr>
                </pic:pic>
              </a:graphicData>
            </a:graphic>
          </wp:inline>
        </w:drawing>
      </w:r>
    </w:p>
    <w:p>
      <w:pPr>
        <w:spacing/>
        <w:rPr/>
      </w:pPr>
      <w:r>
        <w:rPr/>
        <w:t xml:space="preserve">OTBT Vehicles</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Heading1"/>
        <w:spacing w:line="420" w:lineRule="exact"/>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pBdr/>
        <w:spacing/>
        <w:rPr>
          <w:sz w:val="24"/>
        </w:rPr>
      </w:pPr>
      <w:r>
        <w:rPr>
          <w:sz w:val="24"/>
        </w:rPr>
        <w:t xml:space="preserve">The smallest doorway is NA wide</w:t>
      </w:r>
    </w:p>
    <w:p>
      <w:pPr>
        <w:pStyle w:val="ListBullet"/>
        <w:numPr>
          <w:ilvl w:val="0"/>
          <w:numId w:val="37"/>
        </w:numPr>
        <w:spacing/>
        <w:rPr/>
      </w:pPr>
      <w:r>
        <w:rPr/>
        <w:t xml:space="preserve">There are areas of full lighting</w:t>
      </w:r>
    </w:p>
    <w:p>
      <w:pPr>
        <w:pStyle w:val="ListBullet"/>
        <w:numPr>
          <w:ilvl w:val="0"/>
          <w:numId w:val="37"/>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7"/>
        </w:numPr>
        <w:spacing/>
        <w:rPr/>
      </w:pPr>
      <w:r>
        <w:rPr/>
        <w:t xml:space="preserve">Sugar free (diabetic)</w:t>
      </w:r>
    </w:p>
    <w:p>
      <w:pPr>
        <w:pStyle w:val="ListBullet"/>
        <w:numPr>
          <w:ilvl w:val="0"/>
          <w:numId w:val="37"/>
        </w:numPr>
        <w:spacing/>
        <w:rPr/>
      </w:pPr>
      <w:r>
        <w:rPr/>
        <w:t xml:space="preserve">Gluten free (celiac)</w:t>
      </w:r>
    </w:p>
    <w:p>
      <w:pPr>
        <w:pStyle w:val="ListBullet"/>
        <w:numPr>
          <w:ilvl w:val="0"/>
          <w:numId w:val="37"/>
        </w:numPr>
        <w:spacing/>
        <w:rPr/>
      </w:pPr>
      <w:r>
        <w:rPr/>
        <w:t xml:space="preserve">Lactose free (dairy free)</w:t>
      </w:r>
    </w:p>
    <w:p>
      <w:pPr>
        <w:pStyle w:val="ListBullet"/>
        <w:numPr>
          <w:ilvl w:val="0"/>
          <w:numId w:val="37"/>
        </w:numPr>
        <w:spacing/>
        <w:rPr/>
      </w:pPr>
      <w:r>
        <w:rPr/>
        <w:t xml:space="preserve">Low fat and  fibre with no gastric content</w:t>
      </w:r>
    </w:p>
    <w:p>
      <w:pPr>
        <w:pStyle w:val="ListBullet"/>
        <w:numPr>
          <w:ilvl w:val="0"/>
          <w:numId w:val="37"/>
        </w:numPr>
        <w:spacing/>
        <w:rPr/>
      </w:pPr>
      <w:r>
        <w:rPr/>
        <w:t xml:space="preserve">Low potassium</w:t>
      </w:r>
    </w:p>
    <w:p>
      <w:pPr>
        <w:pStyle w:val="ListBullet"/>
        <w:numPr>
          <w:ilvl w:val="0"/>
          <w:numId w:val="37"/>
        </w:numPr>
        <w:spacing/>
        <w:rPr/>
      </w:pPr>
      <w:r>
        <w:rPr/>
        <w:t xml:space="preserve">Low sodium</w:t>
      </w:r>
    </w:p>
    <w:p>
      <w:pPr>
        <w:pStyle w:val="ListBullet"/>
        <w:numPr>
          <w:ilvl w:val="0"/>
          <w:numId w:val="37"/>
        </w:numPr>
        <w:spacing/>
        <w:rPr/>
      </w:pPr>
      <w:r>
        <w:rPr/>
        <w:t xml:space="preserve">Nut free</w:t>
      </w:r>
    </w:p>
    <w:p>
      <w:pPr>
        <w:pStyle w:val="ListBullet"/>
        <w:numPr>
          <w:ilvl w:val="0"/>
          <w:numId w:val="37"/>
        </w:numPr>
        <w:spacing/>
        <w:rPr/>
      </w:pPr>
      <w:r>
        <w:rPr/>
        <w:t xml:space="preserve">Additive free</w:t>
      </w:r>
    </w:p>
    <w:p>
      <w:pPr>
        <w:pStyle w:val="ListBullet"/>
        <w:numPr>
          <w:ilvl w:val="0"/>
          <w:numId w:val="37"/>
        </w:numPr>
        <w:spacing/>
        <w:rPr/>
      </w:pPr>
      <w:r>
        <w:rPr/>
        <w:t xml:space="preserve">Organic</w:t>
      </w:r>
    </w:p>
    <w:p>
      <w:pPr>
        <w:pStyle w:val="ListBullet"/>
        <w:numPr>
          <w:ilvl w:val="0"/>
          <w:numId w:val="37"/>
        </w:numPr>
        <w:spacing/>
        <w:rPr/>
      </w:pPr>
      <w:r>
        <w:rPr/>
        <w:t xml:space="preserve">Vegetarian</w:t>
      </w:r>
    </w:p>
    <w:p>
      <w:pPr>
        <w:pStyle w:val="ListBullet"/>
        <w:numPr>
          <w:ilvl w:val="0"/>
          <w:numId w:val="37"/>
        </w:numPr>
        <w:spacing/>
        <w:rPr/>
      </w:pPr>
      <w:r>
        <w:rPr/>
        <w:t xml:space="preserve">Vegan</w:t>
      </w:r>
    </w:p>
    <w:p>
      <w:pPr>
        <w:pStyle w:val="ListBullet"/>
        <w:numPr>
          <w:ilvl w:val="0"/>
          <w:numId w:val="37"/>
        </w:numPr>
        <w:spacing/>
        <w:rPr/>
      </w:pPr>
      <w:r>
        <w:rPr/>
        <w:t xml:space="preserve">Kosher</w:t>
      </w:r>
    </w:p>
    <w:p>
      <w:pPr>
        <w:pStyle w:val="ListBullet"/>
        <w:numPr>
          <w:ilvl w:val="0"/>
          <w:numId w:val="37"/>
        </w:numPr>
        <w:spacing/>
        <w:rPr/>
      </w:pPr>
      <w:r>
        <w:rPr/>
        <w:t xml:space="preserve">Halal</w:t>
      </w:r>
    </w:p>
    <w:p>
      <w:pPr>
        <w:pStyle w:val="ListBullet"/>
        <w:pBdr/>
        <w:spacing/>
        <w:rPr>
          <w:sz w:val="24"/>
        </w:rPr>
      </w:pPr>
      <w:r>
        <w:rPr>
          <w:sz w:val="24"/>
        </w:rPr>
        <w:t xml:space="preserve">There are procedures in place to avoid cross-contamination of food products</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 above - as no entry/doors etc.</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4" w:name="_Toc0000000020"/>
      <w:r>
        <w:rPr/>
        <w:t xml:space="preserve">Report Disclaimer</w:t>
      </w:r>
      <w:bookmarkEnd w:id="24"/>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4"/>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5" Type="http://schemas.openxmlformats.org/officeDocument/2006/relationships/styles" Target="styles.xml" /><Relationship Id="rId26" Type="http://schemas.openxmlformats.org/officeDocument/2006/relationships/settings" Target="settings.xml" /><Relationship Id="rId27" Type="http://schemas.openxmlformats.org/officeDocument/2006/relationships/theme" Target="theme/theme1.xml" /><Relationship Id="rId28" Type="http://schemas.openxmlformats.org/officeDocument/2006/relationships/numbering" Target="numbering.xml" /><Relationship Id="rId1" Type="http://schemas.openxmlformats.org/officeDocument/2006/relationships/footer" Target="footer1.xml" /><Relationship Id="rId29" Type="http://schemas.openxmlformats.org/officeDocument/2006/relationships/fontTable" Target="fontTable.xml" /><Relationship Id="rId23" Type="http://schemas.openxmlformats.org/officeDocument/2006/relationships/image" Target="media/image3.jpeg" /><Relationship Id="rId22" Type="http://schemas.openxmlformats.org/officeDocument/2006/relationships/hyperlink" Target="https://offthebeatentrackwa.com.au/wp-content/uploads/2023/06/ATICAccessibilityPublic.pdf" TargetMode="External" /><Relationship Id="rId30" Type="http://schemas.openxmlformats.org/officeDocument/2006/relationships/customXml" Target="../customXml/item1.xml" /><Relationship Id="rId31" Type="http://schemas.openxmlformats.org/officeDocument/2006/relationships/customXml" Target="../customXml/item2.xml" /><Relationship Id="rId32" Type="http://schemas.openxmlformats.org/officeDocument/2006/relationships/customXml" Target="../customXml/item3.xml" /><Relationship Id="rId33"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4"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