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 Ecotours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Peoples Park SHopping Village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Merritt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0899425885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enquiries@coralbayecotours.com.au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www.coralbayecotours.com.au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2026-07-13 15:33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On our boats, there are several areas that can be used for exits, but main exits are areas where equipment is kept away from and passengers are told to keep clear of</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Indemnity forms that are completed prior to the tour</w:t>
      </w:r>
    </w:p>
    <w:p>
      <w:pPr>
        <w:pBdr/>
        <w:spacing/>
        <w:rPr>
          <w:sz w:val="24"/>
        </w:rPr>
      </w:pPr>
      <w:r>
        <w:rPr>
          <w:sz w:val="24"/>
        </w:rPr>
        <w:t xml:space="preserve">The procedure for assisting guests who need assisted rescue is: In water: the same as all guests. First aid and water safety rescue, whistles, clear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Our tour boats allow service animals to join the tours. The most accessible tour boat for service animals is our Glass Bottom Boat. This boat runs short tours which allow guests to take service animals, with minimal chances of animals suffering seasickness due to being in sheltered waters and not too far from shore. For longer tours, service animals are considers on case-by-case basis, and can absolutely be accommodated if the guest feels that it would be suitable.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facilities are locked</w:t>
      </w:r>
    </w:p>
    <w:p>
      <w:pPr>
        <w:pBdr/>
        <w:spacing/>
        <w:rPr>
          <w:sz w:val="24"/>
        </w:rPr>
      </w:pPr>
      <w:r>
        <w:rPr>
          <w:sz w:val="24"/>
        </w:rPr>
        <w:t xml:space="preserve">The following steps are in place to ensure that people with fatigue related to their disability are not disadvantaged by long wait times: If guests are waiting to be served/seen to at our office, there is seating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2 of our vessels have upper decks which are accessible on via steps/ladders. All other areas are accessible without steps, or with 3 steps or less. For people who cannot use these ladders/steps, they have ample comfortable space on the lower decks of the vessels.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In addition, the following further information can assist guests:</w:t>
      </w:r>
    </w:p>
    <w:p>
      <w:pPr>
        <w:spacing/>
        <w:rPr/>
      </w:pPr>
      <w:r>
        <w:rPr/>
        <w:t xml:space="preserve">There is a public toilet within the park facility where our office is located, but it is not operated by our business. All of our vessels have toilet facilities, but they are confined spaces and there would be a number of circumstances where people with accessibility issues would require assistance utilising the toilet facilities onboard.</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1 wheelchair per vessel</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pBdr/>
        <w:spacing/>
        <w:rPr>
          <w:sz w:val="24"/>
        </w:rPr>
      </w:pPr>
      <w:r>
        <w:rPr>
          <w:sz w:val="24"/>
        </w:rPr>
        <w:t xml:space="preserve">The door is 800mm wide</w:t>
      </w:r>
    </w:p>
    <w:p>
      <w:pPr>
        <w:pStyle w:val="ListBullet"/>
        <w:pBdr/>
        <w:spacing/>
        <w:rPr>
          <w:sz w:val="24"/>
        </w:rPr>
      </w:pPr>
      <w:r>
        <w:rPr>
          <w:sz w:val="24"/>
        </w:rPr>
        <w:t xml:space="preserve">There is less than 700mm 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Toilet Kurni-ku</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Toilet Nhanya-ku</w:t>
      </w:r>
    </w:p>
    <w:p>
      <w:pPr>
        <w:spacing/>
        <w:rPr/>
      </w:pPr>
      <w:r>
        <w:rPr/>
        <w:drawing>
          <wp:inline>
            <wp:extent cx="1435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435100" cy="2540000"/>
                    </a:xfrm>
                    <a:prstGeom prst="rect">
                      <a:avLst/>
                    </a:prstGeom>
                  </pic:spPr>
                </pic:pic>
              </a:graphicData>
            </a:graphic>
          </wp:inline>
        </w:drawing>
      </w:r>
    </w:p>
    <w:p>
      <w:pPr>
        <w:spacing/>
        <w:rPr/>
      </w:pPr>
      <w:r>
        <w:rPr/>
        <w:t xml:space="preserve">Toilet Thunder</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110.</w:t>
      </w:r>
    </w:p>
    <w:p>
      <w:pPr>
        <w:pStyle w:val="ListBullet"/>
        <w:pBdr/>
        <w:spacing/>
        <w:rPr>
          <w:sz w:val="24"/>
        </w:rPr>
      </w:pPr>
      <w:r>
        <w:rPr>
          <w:sz w:val="24"/>
        </w:rPr>
        <w:t xml:space="preserve">Height (cm) 60.</w:t>
      </w:r>
    </w:p>
    <w:p>
      <w:pPr>
        <w:pStyle w:val="ListBullet"/>
        <w:pBdr/>
        <w:spacing/>
        <w:rPr>
          <w:sz w:val="24"/>
        </w:rPr>
      </w:pPr>
      <w:r>
        <w:rPr>
          <w:sz w:val="24"/>
        </w:rPr>
        <w:t xml:space="preserve">Weight (kg) 30.</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Ramp - wheelchair access Nhanya-ku1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0" Type="http://schemas.openxmlformats.org/officeDocument/2006/relationships/styles" Target="styles.xml" /><Relationship Id="rId31" Type="http://schemas.openxmlformats.org/officeDocument/2006/relationships/settings" Target="settings.xml" /><Relationship Id="rId32" Type="http://schemas.openxmlformats.org/officeDocument/2006/relationships/theme" Target="theme/theme1.xml" /><Relationship Id="rId33" Type="http://schemas.openxmlformats.org/officeDocument/2006/relationships/numbering" Target="numbering.xml" /><Relationship Id="rId1" Type="http://schemas.openxmlformats.org/officeDocument/2006/relationships/footer" Target="footer1.xml" /><Relationship Id="rId3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35" Type="http://schemas.openxmlformats.org/officeDocument/2006/relationships/customXml" Target="../customXml/item1.xml" /><Relationship Id="rId36" Type="http://schemas.openxmlformats.org/officeDocument/2006/relationships/customXml" Target="../customXml/item2.xml" /><Relationship Id="rId37" Type="http://schemas.openxmlformats.org/officeDocument/2006/relationships/customXml" Target="../customXml/item3.xml" /><Relationship Id="rId3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