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 Ecotours</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Shop 4, Peoples Park SHopping Village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Coral Bay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Kylie Merritt</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0899425885</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enquiries@coralbayecotours.com.au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www.coralbayecotours.com.au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2026-06-03 09:43</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6</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7</w:t>
            </w:r>
            <w:r>
              <w:rPr/>
              <w:fldChar w:fldCharType="end"/>
            </w:r>
          </w:hyperlink>
        </w:p>
        <w:p>
          <w:pPr>
            <w:pStyle w:val="TOC2"/>
            <w:tabs>
              <w:tab w:val="right" w:leader="dot" w:pos="9016"/>
            </w:tabs>
            <w:spacing/>
            <w:rPr/>
          </w:pPr>
          <w:hyperlink w:anchor="_Toc0000000017" w:history="1">
            <w:r>
              <w:rPr>
                <w:rStyle w:val="Hyperlink"/>
              </w:rPr>
              <w:t xml:space="preserve">Steps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Ramps</w:t>
            </w:r>
            <w:r>
              <w:rPr/>
              <w:tab/>
              <w:t xml:space="preserve"/>
            </w:r>
            <w:r>
              <w:rPr/>
              <w:fldChar w:fldCharType="begin"/>
            </w:r>
            <w:r>
              <w:rPr/>
              <w:instrText>PAGEREF _Toc0000000018 \h</w:instrText>
            </w:r>
            <w:r>
              <w:rPr/>
              <w:fldChar w:fldCharType="separate"/>
            </w:r>
            <w:r>
              <w:rPr/>
              <w:t xml:space="preserve">8</w:t>
            </w:r>
            <w:r>
              <w:rPr/>
              <w:fldChar w:fldCharType="end"/>
            </w:r>
          </w:hyperlink>
        </w:p>
        <w:p>
          <w:pPr>
            <w:pStyle w:val="TOC1"/>
            <w:tabs>
              <w:tab w:val="right" w:leader="dot" w:pos="9016"/>
            </w:tabs>
            <w:spacing/>
            <w:rPr/>
          </w:pPr>
          <w:hyperlink w:anchor="_Toc0000000019" w:history="1">
            <w:r>
              <w:rPr>
                <w:rStyle w:val="Hyperlink"/>
              </w:rPr>
              <w:t xml:space="preserve">TOUR OPERATORS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Tour/Transport Services</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Route Planning</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2"/>
            <w:tabs>
              <w:tab w:val="right" w:leader="dot" w:pos="9016"/>
            </w:tabs>
            <w:spacing/>
            <w:rPr/>
          </w:pPr>
          <w:hyperlink w:anchor="_Toc0000000022" w:history="1">
            <w:r>
              <w:rPr>
                <w:rStyle w:val="Hyperlink"/>
              </w:rPr>
              <w:t xml:space="preserve">Guides</w:t>
            </w:r>
            <w:r>
              <w:rPr/>
              <w:tab/>
              <w:t xml:space="preserve"/>
            </w:r>
            <w:r>
              <w:rPr/>
              <w:fldChar w:fldCharType="begin"/>
            </w:r>
            <w:r>
              <w:rPr/>
              <w:instrText>PAGEREF _Toc0000000022 \h</w:instrText>
            </w:r>
            <w:r>
              <w:rPr/>
              <w:fldChar w:fldCharType="separate"/>
            </w:r>
            <w:r>
              <w:rPr/>
              <w:t xml:space="preserve">10</w:t>
            </w:r>
            <w:r>
              <w:rPr/>
              <w:fldChar w:fldCharType="end"/>
            </w:r>
          </w:hyperlink>
        </w:p>
        <w:p>
          <w:pPr>
            <w:pStyle w:val="TOC2"/>
            <w:tabs>
              <w:tab w:val="right" w:leader="dot" w:pos="9016"/>
            </w:tabs>
            <w:spacing/>
            <w:rPr/>
          </w:pPr>
          <w:hyperlink w:anchor="_Toc0000000023" w:history="1">
            <w:r>
              <w:rPr>
                <w:rStyle w:val="Hyperlink"/>
              </w:rPr>
              <w:t xml:space="preserve">Report Disclaimer</w:t>
            </w:r>
            <w:r>
              <w:rPr/>
              <w:tab/>
              <w:t xml:space="preserve"/>
            </w:r>
            <w:r>
              <w:rPr/>
              <w:fldChar w:fldCharType="begin"/>
            </w:r>
            <w:r>
              <w:rPr/>
              <w:instrText>PAGEREF _Toc0000000023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Audible device/s to alert occupants to evacuate with instructions on how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On our boats, there are several areas that can be used for exits, but main exits are areas where equipment is kept away from and passengers are told to keep clear of</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Indemnity forms that are completed prior to the tour</w:t>
      </w:r>
    </w:p>
    <w:p>
      <w:pPr>
        <w:pBdr/>
        <w:spacing/>
        <w:rPr>
          <w:sz w:val="24"/>
        </w:rPr>
      </w:pPr>
      <w:r>
        <w:rPr>
          <w:sz w:val="24"/>
        </w:rPr>
        <w:t xml:space="preserve">The procedure for assisting guests who need assisted rescue is: In water: the same as all guests. First aid and water safety rescue, whistles, clear communication</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Our tour boats allow service animals to join the tours. The most accessible tour boat for service animals is our Glass Bottom Boat. This boat runs short tours which allow guests to take service animals, with minimal chances of animals suffering seasickness due to being in sheltered waters and not too far from shore. For longer tours, service animals are considers on case-by-case basis, and can absolutely be accommodated if the guest feels that it would be suitable.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Bdr/>
        <w:spacing/>
        <w:rPr>
          <w:sz w:val="24"/>
        </w:rPr>
      </w:pPr>
      <w:r>
        <w:rPr>
          <w:sz w:val="24"/>
        </w:rPr>
        <w:t xml:space="preserve">No facilities are locked</w:t>
      </w:r>
    </w:p>
    <w:p>
      <w:pPr>
        <w:pBdr/>
        <w:spacing/>
        <w:rPr>
          <w:sz w:val="24"/>
        </w:rPr>
      </w:pPr>
      <w:r>
        <w:rPr>
          <w:sz w:val="24"/>
        </w:rPr>
        <w:t xml:space="preserve">The following steps are in place to ensure that people with fatigue related to their disability are not disadvantaged by long wait times: If guests are waiting to be served/seen to at our office, there is seating available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pStyle w:val="ListBullet"/>
        <w:numPr>
          <w:ilvl w:val="0"/>
          <w:numId w:val="37"/>
        </w:numPr>
        <w:spacing/>
        <w:rPr/>
      </w:pPr>
      <w:r>
        <w:rPr/>
        <w:t xml:space="preserve">In addition, the following further information can assist guests:</w:t>
      </w:r>
    </w:p>
    <w:p>
      <w:pPr>
        <w:spacing/>
        <w:rPr/>
      </w:pPr>
      <w:r>
        <w:rPr/>
        <w:t xml:space="preserve">2 of our vessels have upper decks which are accessible on via steps/ladders. All other areas are accessible without steps, or with 3 steps or less. For people who cannot use these ladders/steps, they have ample comfortable space on the lower decks of the vessels. </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pBdr/>
        <w:spacing/>
        <w:rPr>
          <w:sz w:val="24"/>
        </w:rPr>
      </w:pPr>
      <w:r>
        <w:rPr>
          <w:sz w:val="24"/>
        </w:rPr>
        <w:t xml:space="preserve">There is n/a mm beside the toilet</w:t>
      </w:r>
    </w:p>
    <w:p>
      <w:pPr>
        <w:pStyle w:val="ListBullet"/>
        <w:numPr>
          <w:ilvl w:val="0"/>
          <w:numId w:val="37"/>
        </w:numPr>
        <w:spacing/>
        <w:rPr/>
      </w:pPr>
      <w:r>
        <w:rPr/>
        <w:t xml:space="preserve">In addition, the following further information can assist guests:</w:t>
      </w:r>
    </w:p>
    <w:p>
      <w:pPr>
        <w:spacing/>
        <w:rPr/>
      </w:pPr>
      <w:r>
        <w:rPr/>
        <w:t xml:space="preserve">There is a public toilet within the park facility where our office is located, but it is not operated by our business. All of our vessels have toilet facilities, but they are confined spaces and there would be a number of circumstances where people with accessibility issues would require assistance utilising the toilet facilities onboard.</w:t>
      </w:r>
    </w:p>
    <w:p>
      <w:pPr>
        <w:pStyle w:val="Heading1"/>
        <w:spacing w:line="420" w:lineRule="exact"/>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1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1 wheelchair per vessel</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7"/>
        </w:numPr>
        <w:spacing/>
        <w:rPr/>
      </w:pPr>
      <w:r>
        <w:rPr/>
        <w:t xml:space="preserve">There is an accessible toilet on-board for public use</w:t>
      </w:r>
    </w:p>
    <w:p>
      <w:pPr>
        <w:pStyle w:val="ListBullet"/>
        <w:pBdr/>
        <w:spacing/>
        <w:rPr>
          <w:sz w:val="24"/>
        </w:rPr>
      </w:pPr>
      <w:r>
        <w:rPr>
          <w:sz w:val="24"/>
        </w:rPr>
        <w:t xml:space="preserve">The door is 800mm wide</w:t>
      </w:r>
    </w:p>
    <w:p>
      <w:pPr>
        <w:pStyle w:val="ListBullet"/>
        <w:pBdr/>
        <w:spacing/>
        <w:rPr>
          <w:sz w:val="24"/>
        </w:rPr>
      </w:pPr>
      <w:r>
        <w:rPr>
          <w:sz w:val="24"/>
        </w:rPr>
        <w:t xml:space="preserve">There is less than 700mm mm beside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 460mm above the floor</w:t>
      </w:r>
    </w:p>
    <w:p>
      <w:pPr>
        <w:pStyle w:val="Subtitle"/>
        <w:spacing/>
        <w:rPr/>
      </w:pPr>
      <w:r>
        <w:rPr/>
        <w:t xml:space="preserve">Accessible Toilet Image(s)</w:t>
      </w:r>
    </w:p>
    <w:p>
      <w:pPr>
        <w:spacing/>
        <w:rPr/>
      </w:pPr>
      <w:r>
        <w:rPr/>
        <w:drawing>
          <wp:inline>
            <wp:extent cx="19050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Toilet Kurni-ku</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Toilet Nhanya-ku</w:t>
      </w:r>
    </w:p>
    <w:p>
      <w:pPr>
        <w:spacing/>
        <w:rPr/>
      </w:pPr>
      <w:r>
        <w:rPr/>
        <w:drawing>
          <wp:inline>
            <wp:extent cx="1435100" cy="2540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435100" cy="2540000"/>
                    </a:xfrm>
                    <a:prstGeom prst="rect">
                      <a:avLst/>
                    </a:prstGeom>
                  </pic:spPr>
                </pic:pic>
              </a:graphicData>
            </a:graphic>
          </wp:inline>
        </w:drawing>
      </w:r>
    </w:p>
    <w:p>
      <w:pPr>
        <w:spacing/>
        <w:rPr/>
      </w:pPr>
      <w:r>
        <w:rPr/>
        <w:t xml:space="preserve">Toilet Thunder</w:t>
      </w:r>
    </w:p>
    <w:p>
      <w:pPr>
        <w:spacing/>
        <w:rPr/>
      </w:pPr>
      <w:r>
        <w:rPr/>
        <w:t xml:space="preserve"> </w:t>
      </w:r>
    </w:p>
    <w:p>
      <w:pPr>
        <w:pStyle w:val="Heading2"/>
        <w:spacing/>
        <w:rPr/>
      </w:pPr>
      <w:bookmarkStart w:id="26" w:name="_Toc0000000022"/>
      <w:r>
        <w:rPr/>
        <w:t xml:space="preserve">Guides</w:t>
      </w:r>
      <w:bookmarkEnd w:id="26"/>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110.</w:t>
      </w:r>
    </w:p>
    <w:p>
      <w:pPr>
        <w:pStyle w:val="ListBullet"/>
        <w:pBdr/>
        <w:spacing/>
        <w:rPr>
          <w:sz w:val="24"/>
        </w:rPr>
      </w:pPr>
      <w:r>
        <w:rPr>
          <w:sz w:val="24"/>
        </w:rPr>
        <w:t xml:space="preserve">Height (cm) 60.</w:t>
      </w:r>
    </w:p>
    <w:p>
      <w:pPr>
        <w:pStyle w:val="ListBullet"/>
        <w:pBdr/>
        <w:spacing/>
        <w:rPr>
          <w:sz w:val="24"/>
        </w:rPr>
      </w:pPr>
      <w:r>
        <w:rPr>
          <w:sz w:val="24"/>
        </w:rPr>
        <w:t xml:space="preserve">Weight (kg) 30.</w:t>
      </w:r>
    </w:p>
    <w:p>
      <w:pPr>
        <w:pStyle w:val="ListBullet"/>
        <w:numPr>
          <w:ilvl w:val="0"/>
          <w:numId w:val="37"/>
        </w:numPr>
        <w:spacing/>
        <w:rPr/>
      </w:pPr>
      <w:r>
        <w:rPr/>
        <w:t xml:space="preserve">Accessibility is tide dependent</w:t>
      </w:r>
    </w:p>
    <w:p>
      <w:pPr>
        <w:pStyle w:val="Subtitle"/>
        <w:spacing/>
        <w:rPr/>
      </w:pPr>
      <w:r>
        <w:rPr/>
        <w:t xml:space="preserve">Image(s)</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Ramp - wheelchair access Nhanya-ku1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7" w:name="_Toc0000000023"/>
      <w:r>
        <w:rPr/>
        <w:t xml:space="preserve">Report Disclaimer</w:t>
      </w:r>
      <w:bookmarkEnd w:id="27"/>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9"/>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0" Type="http://schemas.openxmlformats.org/officeDocument/2006/relationships/styles" Target="styles.xml" /><Relationship Id="rId31" Type="http://schemas.openxmlformats.org/officeDocument/2006/relationships/settings" Target="settings.xml" /><Relationship Id="rId32" Type="http://schemas.openxmlformats.org/officeDocument/2006/relationships/theme" Target="theme/theme1.xml" /><Relationship Id="rId33" Type="http://schemas.openxmlformats.org/officeDocument/2006/relationships/numbering" Target="numbering.xml" /><Relationship Id="rId1" Type="http://schemas.openxmlformats.org/officeDocument/2006/relationships/footer" Target="footer1.xml" /><Relationship Id="rId34" Type="http://schemas.openxmlformats.org/officeDocument/2006/relationships/fontTable" Target="fontTable.xml" /><Relationship Id="rId25" Type="http://schemas.openxmlformats.org/officeDocument/2006/relationships/image" Target="media/image3.jpeg" /><Relationship Id="rId26" Type="http://schemas.openxmlformats.org/officeDocument/2006/relationships/image" Target="media/image4.jpeg" /><Relationship Id="rId27" Type="http://schemas.openxmlformats.org/officeDocument/2006/relationships/image" Target="media/image5.jpeg" /><Relationship Id="rId28" Type="http://schemas.openxmlformats.org/officeDocument/2006/relationships/image" Target="media/image6.jpeg" /><Relationship Id="rId35" Type="http://schemas.openxmlformats.org/officeDocument/2006/relationships/customXml" Target="../customXml/item1.xml" /><Relationship Id="rId36" Type="http://schemas.openxmlformats.org/officeDocument/2006/relationships/customXml" Target="../customXml/item2.xml" /><Relationship Id="rId37" Type="http://schemas.openxmlformats.org/officeDocument/2006/relationships/customXml" Target="../customXml/item3.xml" /><Relationship Id="rId38"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9"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