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Beachcomber Holiday Units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603 Esplanade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Lakes Entrance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Rebecca Hayes</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0413294061</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info@beachcomberholidayunits.com.au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https://www.beachcomberholidayunits.com.au/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2026-06-13 00:36</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1"/>
            <w:tabs>
              <w:tab w:val="right" w:leader="dot" w:pos="9016"/>
            </w:tabs>
            <w:spacing/>
            <w:rPr/>
          </w:pPr>
          <w:hyperlink w:anchor="_Toc0000000015" w:history="1">
            <w:r>
              <w:rPr>
                <w:rStyle w:val="Hyperlink"/>
              </w:rPr>
              <w:t xml:space="preserve">ACCOMMODATION</w:t>
            </w:r>
            <w:r>
              <w:rPr/>
              <w:tab/>
              <w:t xml:space="preserve"/>
            </w:r>
            <w:r>
              <w:rPr/>
              <w:fldChar w:fldCharType="begin"/>
            </w:r>
            <w:r>
              <w:rPr/>
              <w:instrText>PAGEREF _Toc0000000015 \h</w:instrText>
            </w:r>
            <w:r>
              <w:rPr/>
              <w:fldChar w:fldCharType="separate"/>
            </w:r>
            <w:r>
              <w:rPr/>
              <w:t xml:space="preserve">9</w:t>
            </w:r>
            <w:r>
              <w:rPr/>
              <w:fldChar w:fldCharType="end"/>
            </w:r>
          </w:hyperlink>
        </w:p>
        <w:p>
          <w:pPr>
            <w:pStyle w:val="TOC2"/>
            <w:tabs>
              <w:tab w:val="right" w:leader="dot" w:pos="9016"/>
            </w:tabs>
            <w:spacing/>
            <w:rPr/>
          </w:pPr>
          <w:hyperlink w:anchor="_Toc0000000016" w:history="1">
            <w:r>
              <w:rPr>
                <w:rStyle w:val="Hyperlink"/>
              </w:rPr>
              <w:t xml:space="preserve">Bedrooms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Room Amenities</w:t>
            </w:r>
            <w:r>
              <w:rPr/>
              <w:tab/>
              <w:t xml:space="preserve"/>
            </w:r>
            <w:r>
              <w:rPr/>
              <w:fldChar w:fldCharType="begin"/>
            </w:r>
            <w:r>
              <w:rPr/>
              <w:instrText>PAGEREF _Toc0000000017 \h</w:instrText>
            </w:r>
            <w:r>
              <w:rPr/>
              <w:fldChar w:fldCharType="separate"/>
            </w:r>
            <w:r>
              <w:rPr/>
              <w:t xml:space="preserve">11</w:t>
            </w:r>
            <w:r>
              <w:rPr/>
              <w:fldChar w:fldCharType="end"/>
            </w:r>
          </w:hyperlink>
        </w:p>
        <w:p>
          <w:pPr>
            <w:pStyle w:val="TOC2"/>
            <w:tabs>
              <w:tab w:val="right" w:leader="dot" w:pos="9016"/>
            </w:tabs>
            <w:spacing/>
            <w:rPr/>
          </w:pPr>
          <w:hyperlink w:anchor="_Toc0000000018" w:history="1">
            <w:r>
              <w:rPr>
                <w:rStyle w:val="Hyperlink"/>
              </w:rPr>
              <w:t xml:space="preserve">Bathrooms</w:t>
            </w:r>
            <w:r>
              <w:rPr/>
              <w:tab/>
              <w:t xml:space="preserve"/>
            </w:r>
            <w:r>
              <w:rPr/>
              <w:fldChar w:fldCharType="begin"/>
            </w:r>
            <w:r>
              <w:rPr/>
              <w:instrText>PAGEREF _Toc0000000018 \h</w:instrText>
            </w:r>
            <w:r>
              <w:rPr/>
              <w:fldChar w:fldCharType="separate"/>
            </w:r>
            <w:r>
              <w:rPr/>
              <w:t xml:space="preserve">12</w:t>
            </w:r>
            <w:r>
              <w:rPr/>
              <w:fldChar w:fldCharType="end"/>
            </w:r>
          </w:hyperlink>
        </w:p>
        <w:p>
          <w:pPr>
            <w:pStyle w:val="TOC1"/>
            <w:tabs>
              <w:tab w:val="right" w:leader="dot" w:pos="9016"/>
            </w:tabs>
            <w:spacing/>
            <w:rPr/>
          </w:pPr>
          <w:hyperlink w:anchor="_Toc0000000019" w:history="1">
            <w:r>
              <w:rPr>
                <w:rStyle w:val="Hyperlink"/>
              </w:rPr>
              <w:t xml:space="preserve">COMMON AREAS</w:t>
            </w:r>
            <w:r>
              <w:rPr/>
              <w:tab/>
              <w:t xml:space="preserve"/>
            </w:r>
            <w:r>
              <w:rPr/>
              <w:fldChar w:fldCharType="begin"/>
            </w:r>
            <w:r>
              <w:rPr/>
              <w:instrText>PAGEREF _Toc0000000019 \h</w:instrText>
            </w:r>
            <w:r>
              <w:rPr/>
              <w:fldChar w:fldCharType="separate"/>
            </w:r>
            <w:r>
              <w:rPr/>
              <w:t xml:space="preserve">15</w:t>
            </w:r>
            <w:r>
              <w:rPr/>
              <w:fldChar w:fldCharType="end"/>
            </w:r>
          </w:hyperlink>
        </w:p>
        <w:p>
          <w:pPr>
            <w:pStyle w:val="TOC2"/>
            <w:tabs>
              <w:tab w:val="right" w:leader="dot" w:pos="9016"/>
            </w:tabs>
            <w:spacing/>
            <w:rPr/>
          </w:pPr>
          <w:hyperlink w:anchor="_Toc0000000020" w:history="1">
            <w:r>
              <w:rPr>
                <w:rStyle w:val="Hyperlink"/>
              </w:rPr>
              <w:t xml:space="preserve">Report Disclaimer</w:t>
            </w:r>
            <w:r>
              <w:rPr/>
              <w:tab/>
              <w:t xml:space="preserve"/>
            </w:r>
            <w:r>
              <w:rPr/>
              <w:fldChar w:fldCharType="begin"/>
            </w:r>
            <w:r>
              <w:rPr/>
              <w:instrText>PAGEREF _Toc0000000020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We conduct regular inspections of all areas throughout the day to ensure that exit access remains unobstructed at all times. Our small property allows us to maintain a high level of oversight and promptly address any potential hazards.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During check-in, we personally speak with each guest to identify those who may require additional assistance in the event of an emergency. As we live on-site, we can provide immediate support and ensure the safety and well-being of all our guests.</w:t>
      </w:r>
    </w:p>
    <w:p>
      <w:pPr>
        <w:pBdr/>
        <w:spacing/>
        <w:rPr>
          <w:sz w:val="24"/>
        </w:rPr>
      </w:pPr>
      <w:r>
        <w:rPr>
          <w:sz w:val="24"/>
        </w:rPr>
        <w:t xml:space="preserve">The procedure for assisting guests who need assisted rescue is: In the event of an emergency, our procedure involves: Identifying guests who require assistance based on the information gathered during check-in. Assigning a staff member to assist each identified guest, ensuring they receive the necessary support to evacuate safely. Coordinating with emergency services to facilitate the rescue of guests who need additional assistance. Maintaining communication with the guests throughout the evacuation process to provide reassurance and guidance.</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2" w:history="1">
        <w:r>
          <w:rPr>
            <w:rStyle w:val="Hyperlink"/>
            <w:sz w:val="24"/>
          </w:rPr>
          <w:t xml:space="preserve">https://www.beachcomberholidayunits.com.au/accessibility-1</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The business provides the following services for services animals: We welcome guests with service animals and allow them to stay in our holiday units. Service animals are permitted in all areas of the property, provided they are accompanied by their owner and the owner ensures proper cleanliness. While we do not offer specific amenities such as bowls or bedding, we strive to accommodate any additional needs of our guests and their service animals upon request.</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We check in guests at their unit. So they can sit down, go to the bathroom, lay down, unpack immediately.</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We do have public transport access on our website, booking platform and in confirmation emails.</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Where steps are present are there three steps or less</w:t>
      </w:r>
    </w:p>
    <w:p>
      <w:pPr>
        <w:pStyle w:val="Heading1"/>
        <w:spacing w:line="420" w:lineRule="exact"/>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pBdr/>
        <w:spacing/>
        <w:rPr>
          <w:sz w:val="24"/>
        </w:rPr>
      </w:pPr>
      <w:r>
        <w:rPr>
          <w:sz w:val="24"/>
        </w:rPr>
        <w:t xml:space="preserve">There are We have two self-contained holiday units that are step free for wheelchair users these are not suitable for all wheelchair users though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10277475" cy="10277475"/>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10277475" cy="10277475"/>
                    </a:xfrm>
                    <a:prstGeom prst="rect">
                      <a:avLst/>
                    </a:prstGeom>
                  </pic:spPr>
                </pic:pic>
              </a:graphicData>
            </a:graphic>
          </wp:inline>
        </w:drawing>
      </w:r>
    </w:p>
    <w:p>
      <w:pPr>
        <w:spacing/>
        <w:rPr/>
      </w:pPr>
      <w:r>
        <w:rPr/>
        <w:t xml:space="preserve">Unit 1 9</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Unit 2 bedroom</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7"/>
        </w:numPr>
        <w:spacing/>
        <w:rPr/>
      </w:pPr>
      <w:r>
        <w:rPr/>
        <w:t xml:space="preserve">Lower hanging rails are in wardrobes</w:t>
      </w:r>
    </w:p>
    <w:p>
      <w:pPr>
        <w:pBdr/>
        <w:spacing/>
        <w:rPr>
          <w:sz w:val="24"/>
        </w:rPr>
      </w:pPr>
      <w:r>
        <w:rPr>
          <w:sz w:val="24"/>
        </w:rPr>
        <w:t xml:space="preserve">For guests with a hearing impairment, the following emergency evacuation procedures apply to ensure safe evacuation: During check-in at Beachcomber Holiday Units, we personally engage with each guest to identify those who may have hearing impairments and require additional assistance in an emergency. As we live on-site, we are readily available to provide immediate support. In the event of an emergency, our procedure includes: Directly notifying guests with hearing impairments through face-to-face communication or written notes. Assigning a staff member to assist these guests and ensure they are aware of the situation. Guiding them to the nearest exit and assisting them to the evacuation point. Ensuring their safety and well-being throughout the evacuation process by maintaining clear and supportive communication.</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pBdr/>
        <w:spacing/>
        <w:rPr>
          <w:sz w:val="24"/>
        </w:rPr>
      </w:pPr>
      <w:r>
        <w:rPr>
          <w:sz w:val="24"/>
        </w:rPr>
        <w:t xml:space="preserve">Openings are a minimum of Our smallest opening is 790mm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Blocks are available to put under the bed legs</w:t>
      </w:r>
    </w:p>
    <w:p>
      <w:pPr>
        <w:pStyle w:val="ListBullet"/>
        <w:numPr>
          <w:ilvl w:val="0"/>
          <w:numId w:val="37"/>
        </w:numPr>
        <w:spacing/>
        <w:rPr/>
      </w:pPr>
      <w:r>
        <w:rPr/>
        <w:t xml:space="preserve">In addition, the following further information can assist guests:</w:t>
      </w:r>
    </w:p>
    <w:p>
      <w:pPr>
        <w:spacing/>
        <w:rPr/>
      </w:pPr>
      <w:r>
        <w:rPr/>
        <w:t xml:space="preserve">Beds are able to be moved to make more space to the side on request</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pBdr/>
        <w:spacing/>
        <w:rPr>
          <w:sz w:val="24"/>
        </w:rPr>
      </w:pPr>
      <w:r>
        <w:rPr>
          <w:sz w:val="24"/>
        </w:rPr>
        <w:t xml:space="preserve">The width of the door is 690mm.</w:t>
      </w:r>
    </w:p>
    <w:p>
      <w:pPr>
        <w:pStyle w:val="ListBullet"/>
        <w:pBdr/>
        <w:spacing/>
        <w:rPr>
          <w:sz w:val="24"/>
        </w:rPr>
      </w:pPr>
      <w:r>
        <w:rPr>
          <w:sz w:val="24"/>
        </w:rPr>
        <w:t xml:space="preserve">The width beside the toilet is 310mm.</w:t>
      </w:r>
    </w:p>
    <w:p>
      <w:pPr>
        <w:pStyle w:val="ListBullet"/>
        <w:pBdr/>
        <w:spacing/>
        <w:rPr>
          <w:sz w:val="24"/>
        </w:rPr>
      </w:pPr>
      <w:r>
        <w:rPr>
          <w:sz w:val="24"/>
        </w:rPr>
        <w:t xml:space="preserve">There is 860mm 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410mm.</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11811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181100" cy="2540000"/>
                    </a:xfrm>
                    <a:prstGeom prst="rect">
                      <a:avLst/>
                    </a:prstGeom>
                  </pic:spPr>
                </pic:pic>
              </a:graphicData>
            </a:graphic>
          </wp:inline>
        </w:drawing>
      </w:r>
    </w:p>
    <w:p>
      <w:pPr>
        <w:spacing/>
        <w:rPr/>
      </w:pPr>
      <w:r>
        <w:rPr/>
        <w:t xml:space="preserve">Unit 1 Shower with Shower Chair</w:t>
      </w:r>
    </w:p>
    <w:p>
      <w:pPr>
        <w:spacing/>
        <w:rPr/>
      </w:pPr>
      <w:r>
        <w:rPr/>
        <w:drawing>
          <wp:inline>
            <wp:extent cx="11811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181100" cy="2540000"/>
                    </a:xfrm>
                    <a:prstGeom prst="rect">
                      <a:avLst/>
                    </a:prstGeom>
                  </pic:spPr>
                </pic:pic>
              </a:graphicData>
            </a:graphic>
          </wp:inline>
        </w:drawing>
      </w:r>
    </w:p>
    <w:p>
      <w:pPr>
        <w:spacing/>
        <w:rPr/>
      </w:pPr>
      <w:r>
        <w:rPr/>
        <w:t xml:space="preserve">Unit 1 Toilet with surround</w:t>
      </w:r>
    </w:p>
    <w:p>
      <w:pPr>
        <w:spacing/>
        <w:rPr/>
      </w:pPr>
      <w:r>
        <w:rPr/>
        <w:drawing>
          <wp:inline>
            <wp:extent cx="2540000" cy="1181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181100"/>
                    </a:xfrm>
                    <a:prstGeom prst="rect">
                      <a:avLst/>
                    </a:prstGeom>
                  </pic:spPr>
                </pic:pic>
              </a:graphicData>
            </a:graphic>
          </wp:inline>
        </w:drawing>
      </w:r>
    </w:p>
    <w:p>
      <w:pPr>
        <w:spacing/>
        <w:rPr/>
      </w:pPr>
      <w:r>
        <w:rPr/>
        <w:t xml:space="preserve">Unit 4 Bathroom with shower chair 2</w:t>
      </w:r>
    </w:p>
    <w:p>
      <w:pPr>
        <w:spacing/>
        <w:rPr/>
      </w:pPr>
      <w:r>
        <w:rPr/>
        <w:drawing>
          <wp:inline>
            <wp:extent cx="2540000" cy="1181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181100"/>
                    </a:xfrm>
                    <a:prstGeom prst="rect">
                      <a:avLst/>
                    </a:prstGeom>
                  </pic:spPr>
                </pic:pic>
              </a:graphicData>
            </a:graphic>
          </wp:inline>
        </w:drawing>
      </w:r>
    </w:p>
    <w:p>
      <w:pPr>
        <w:spacing/>
        <w:rPr/>
      </w:pPr>
      <w:r>
        <w:rPr/>
        <w:t xml:space="preserve">Unit 4 Bathroom with shower chair</w:t>
      </w:r>
    </w:p>
    <w:p>
      <w:pPr>
        <w:spacing/>
        <w:rPr/>
      </w:pPr>
      <w:r>
        <w:rPr/>
        <w:drawing>
          <wp:inline>
            <wp:extent cx="2540000" cy="1181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181100"/>
                    </a:xfrm>
                    <a:prstGeom prst="rect">
                      <a:avLst/>
                    </a:prstGeom>
                  </pic:spPr>
                </pic:pic>
              </a:graphicData>
            </a:graphic>
          </wp:inline>
        </w:drawing>
      </w:r>
    </w:p>
    <w:p>
      <w:pPr>
        <w:spacing/>
        <w:rPr/>
      </w:pPr>
      <w:r>
        <w:rPr/>
        <w:t xml:space="preserve">Unit 4 Bathroom with toilet surround 2</w:t>
      </w:r>
    </w:p>
    <w:p>
      <w:pPr>
        <w:spacing/>
        <w:rPr/>
      </w:pPr>
      <w:r>
        <w:rPr/>
        <w:drawing>
          <wp:inline>
            <wp:extent cx="2540000" cy="11811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181100"/>
                    </a:xfrm>
                    <a:prstGeom prst="rect">
                      <a:avLst/>
                    </a:prstGeom>
                  </pic:spPr>
                </pic:pic>
              </a:graphicData>
            </a:graphic>
          </wp:inline>
        </w:drawing>
      </w:r>
    </w:p>
    <w:p>
      <w:pPr>
        <w:spacing/>
        <w:rPr/>
      </w:pPr>
      <w:r>
        <w:rPr/>
        <w:t xml:space="preserve">Unit 4 Bathroom with toilet surround</w:t>
      </w:r>
    </w:p>
    <w:p>
      <w:pPr>
        <w:pStyle w:val="ListBullet"/>
        <w:numPr>
          <w:ilvl w:val="0"/>
          <w:numId w:val="37"/>
        </w:numPr>
        <w:spacing/>
        <w:rPr/>
      </w:pPr>
      <w:r>
        <w:rPr/>
        <w:t xml:space="preserve">In addition, the following further information can assist guests:</w:t>
      </w:r>
    </w:p>
    <w:p>
      <w:pPr>
        <w:spacing/>
        <w:rPr/>
      </w:pPr>
      <w:r>
        <w:rPr/>
        <w:t xml:space="preserve">Beachcomber Holiday Units has 3 different size units, one bedroom, two bedroom and three bedroom. All of these sizes have different size and style bathrooms. They all have step free showers and we can provide a shower chair and toilet surround support to a weight value of 250kg on request.</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3" w:name="_Toc0000000019"/>
      <w:r>
        <w:rPr/>
        <w:t xml:space="preserve">COMMON AREAS</w:t>
      </w:r>
      <w:bookmarkEnd w:id="23"/>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4" w:name="_Toc0000000020"/>
      <w:r>
        <w:rPr/>
        <w:t xml:space="preserve">Report Disclaimer</w:t>
      </w:r>
      <w:bookmarkEnd w:id="24"/>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9" name="Picture 5"/>
              <a:graphic>
                <a:graphicData uri="http://schemas.openxmlformats.org/drawingml/2006/picture">
                  <pic:pic>
                    <pic:nvPicPr>
                      <pic:cNvPr id="0" name="" descr=""/>
                      <pic:cNvPicPr>
                        <a:picLocks noChangeAspect="1" noChangeArrowheads="1"/>
                      </pic:cNvPicPr>
                    </pic:nvPicPr>
                    <pic:blipFill>
                      <a:blip r:embed="rId31"/>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2" Type="http://schemas.openxmlformats.org/officeDocument/2006/relationships/styles" Target="styles.xml" /><Relationship Id="rId33" Type="http://schemas.openxmlformats.org/officeDocument/2006/relationships/settings" Target="settings.xml" /><Relationship Id="rId34" Type="http://schemas.openxmlformats.org/officeDocument/2006/relationships/theme" Target="theme/theme1.xml" /><Relationship Id="rId35" Type="http://schemas.openxmlformats.org/officeDocument/2006/relationships/numbering" Target="numbering.xml" /><Relationship Id="rId1" Type="http://schemas.openxmlformats.org/officeDocument/2006/relationships/footer" Target="footer1.xml" /><Relationship Id="rId36" Type="http://schemas.openxmlformats.org/officeDocument/2006/relationships/fontTable" Target="fontTable.xml" /><Relationship Id="rId23" Type="http://schemas.openxmlformats.org/officeDocument/2006/relationships/image" Target="media/image3.jpeg" /><Relationship Id="rId24" Type="http://schemas.openxmlformats.org/officeDocument/2006/relationships/image" Target="media/image4.jpeg" /><Relationship Id="rId25" Type="http://schemas.openxmlformats.org/officeDocument/2006/relationships/image" Target="media/image5.jpeg" /><Relationship Id="rId26" Type="http://schemas.openxmlformats.org/officeDocument/2006/relationships/image" Target="media/image6.jpeg" /><Relationship Id="rId27" Type="http://schemas.openxmlformats.org/officeDocument/2006/relationships/image" Target="media/image7.jpeg" /><Relationship Id="rId28" Type="http://schemas.openxmlformats.org/officeDocument/2006/relationships/image" Target="media/image8.jpeg" /><Relationship Id="rId29" Type="http://schemas.openxmlformats.org/officeDocument/2006/relationships/image" Target="media/image9.jpeg" /><Relationship Id="rId30" Type="http://schemas.openxmlformats.org/officeDocument/2006/relationships/image" Target="media/image10.jpeg" /><Relationship Id="rId22" Type="http://schemas.openxmlformats.org/officeDocument/2006/relationships/hyperlink" Target="https://www.beachcomberholidayunits.com.au/accessibility-1" TargetMode="External" /><Relationship Id="rId37" Type="http://schemas.openxmlformats.org/officeDocument/2006/relationships/customXml" Target="../customXml/item1.xml" /><Relationship Id="rId38" Type="http://schemas.openxmlformats.org/officeDocument/2006/relationships/customXml" Target="../customXml/item2.xml" /><Relationship Id="rId39" Type="http://schemas.openxmlformats.org/officeDocument/2006/relationships/customXml" Target="../customXml/item3.xml" /><Relationship Id="rId40"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1"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