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Sin Gin Distillery</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124 Lennard Street</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Herne Hill</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Tess Crake</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0438998300</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kate@singindistillery.com.au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https://singindistillery.com.au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2026-09-06 18:16</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Public Toilets/Adult change facilities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1"/>
            <w:tabs>
              <w:tab w:val="right" w:leader="dot" w:pos="9016"/>
            </w:tabs>
            <w:spacing/>
            <w:rPr/>
          </w:pPr>
          <w:hyperlink w:anchor="_Toc0000000017" w:history="1">
            <w:r>
              <w:rPr>
                <w:rStyle w:val="Hyperlink"/>
              </w:rPr>
              <w:t xml:space="preserve">FOOD AND DRINK</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2"/>
            <w:tabs>
              <w:tab w:val="right" w:leader="dot" w:pos="9016"/>
            </w:tabs>
            <w:spacing/>
            <w:rPr/>
          </w:pPr>
          <w:hyperlink w:anchor="_Toc0000000018" w:history="1">
            <w:r>
              <w:rPr>
                <w:rStyle w:val="Hyperlink"/>
              </w:rPr>
              <w:t xml:space="preserve">Dining Spaces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2"/>
            <w:tabs>
              <w:tab w:val="right" w:leader="dot" w:pos="9016"/>
            </w:tabs>
            <w:spacing/>
            <w:rPr/>
          </w:pPr>
          <w:hyperlink w:anchor="_Toc0000000019" w:history="1">
            <w:r>
              <w:rPr>
                <w:rStyle w:val="Hyperlink"/>
              </w:rPr>
              <w:t xml:space="preserve">Report Disclaimer</w:t>
            </w:r>
            <w:r>
              <w:rPr/>
              <w:tab/>
              <w:t xml:space="preserve"/>
            </w:r>
            <w:r>
              <w:rPr/>
              <w:fldChar w:fldCharType="begin"/>
            </w:r>
            <w:r>
              <w:rPr/>
              <w:instrText>PAGEREF _Toc0000000019 \h</w:instrText>
            </w:r>
            <w:r>
              <w:rPr/>
              <w:fldChar w:fldCharType="separate"/>
            </w:r>
            <w:r>
              <w:rPr/>
              <w:t xml:space="preserve">12</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We ensure all doorways are always kept clear.</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At time of booking guests can advise if persons in their group has a disability or requires assistance.</w:t>
      </w:r>
    </w:p>
    <w:p>
      <w:pPr>
        <w:pBdr/>
        <w:spacing/>
        <w:rPr>
          <w:sz w:val="24"/>
        </w:rPr>
      </w:pPr>
      <w:r>
        <w:rPr>
          <w:sz w:val="24"/>
        </w:rPr>
        <w:t xml:space="preserve">The procedure for assisting guests who need assisted rescue is: When assisting any person with a disability to leave the building, or to the nearest fire safe area 1. Ask what assistance the person requires (such as clearing the path before them, walking alongside or behind). Try to avoid offering advice or pre-empting what the person needs. 2. Reassure the person by talking calmly to them. Tell them that you will stay with them and communicate clearly. 4. Assist the person quickly and calmly to the designated assembly area for our building or as advised by a Warden or Fire and Emergency Services person.</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Bdr/>
        <w:spacing/>
        <w:rPr>
          <w:sz w:val="24"/>
        </w:rPr>
      </w:pPr>
      <w:r>
        <w:rPr>
          <w:sz w:val="24"/>
        </w:rPr>
        <w:t xml:space="preserve">The business provides the following services for services animals: Outdoor facilities available. All service animals are accepted </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Large print information sheets and registration forms</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Bdr/>
        <w:spacing/>
        <w:rPr>
          <w:sz w:val="24"/>
        </w:rPr>
      </w:pPr>
      <w:r>
        <w:rPr>
          <w:sz w:val="24"/>
        </w:rPr>
        <w:t xml:space="preserve">The following steps are in place to ensure that people with fatigue related to their disability are not disadvantaged by long wait times: Seating is available for those waiting. However long wait times are a rare occurrence.</w:t>
      </w:r>
    </w:p>
    <w:p>
      <w:pPr>
        <w:pStyle w:val="ListBullet"/>
        <w:numPr>
          <w:ilvl w:val="0"/>
          <w:numId w:val="37"/>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Kerb ramps are in place where a pavement or walkway needs to be crossed</w:t>
      </w:r>
    </w:p>
    <w:p>
      <w:pPr>
        <w:pStyle w:val="ListBullet"/>
        <w:numPr>
          <w:ilvl w:val="0"/>
          <w:numId w:val="37"/>
        </w:numPr>
        <w:spacing/>
        <w:rPr/>
      </w:pPr>
      <w:r>
        <w:rPr/>
        <w:t xml:space="preserve">In addition, the following further information can assist guests:</w:t>
      </w:r>
    </w:p>
    <w:p>
      <w:pPr>
        <w:spacing/>
        <w:rPr/>
      </w:pPr>
      <w:r>
        <w:rPr/>
        <w:t xml:space="preserve">Fully level car park.</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pStyle w:val="ListBullet"/>
        <w:numPr>
          <w:ilvl w:val="0"/>
          <w:numId w:val="37"/>
        </w:numPr>
        <w:spacing/>
        <w:rPr/>
      </w:pPr>
      <w:r>
        <w:rPr/>
        <w:t xml:space="preserve">In addition, the following further information can assist guests:</w:t>
      </w:r>
    </w:p>
    <w:p>
      <w:pPr>
        <w:spacing/>
        <w:rPr/>
      </w:pPr>
      <w:r>
        <w:rPr/>
        <w:t xml:space="preserve">N/A</w:t>
      </w:r>
    </w:p>
    <w:p>
      <w:pPr>
        <w:pStyle w:val="ListBullet"/>
        <w:numPr>
          <w:ilvl w:val="0"/>
          <w:numId w:val="37"/>
        </w:numPr>
        <w:spacing/>
        <w:rPr/>
      </w:pPr>
      <w:r>
        <w:rPr/>
        <w:t xml:space="preserve">In addition, the following further information can assist guests:</w:t>
      </w:r>
    </w:p>
    <w:p>
      <w:pPr>
        <w:spacing/>
        <w:rPr/>
      </w:pPr>
      <w:r>
        <w:rPr/>
        <w:t xml:space="preserve">Single storey building</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Any protruding or overhanging obstructions are at least 2meters above the floor or are protected</w:t>
      </w:r>
    </w:p>
    <w:p>
      <w:pPr>
        <w:pStyle w:val="ListBullet"/>
        <w:numPr>
          <w:ilvl w:val="0"/>
          <w:numId w:val="37"/>
        </w:numPr>
        <w:spacing/>
        <w:rPr/>
      </w:pPr>
      <w:r>
        <w:rPr/>
        <w:t xml:space="preserve">Tableware/glassware contrast with the table surface or table cloth</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In addition, the following further information can assist guests:</w:t>
      </w:r>
    </w:p>
    <w:p>
      <w:pPr>
        <w:spacing/>
        <w:rPr/>
      </w:pPr>
      <w:r>
        <w:rPr/>
        <w:t xml:space="preserve">Our space can be very noisy at times, particularly between the hours of 11am - 4pm on Weekends. Our space is very quiet Monday to Friday</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pStyle w:val="ListBullet"/>
        <w:numPr>
          <w:ilvl w:val="0"/>
          <w:numId w:val="37"/>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Bdr/>
        <w:spacing/>
        <w:rPr>
          <w:sz w:val="24"/>
        </w:rPr>
      </w:pPr>
      <w:r>
        <w:rPr>
          <w:sz w:val="24"/>
        </w:rPr>
        <w:t xml:space="preserve">There are no internal or external steps at our building</w:t>
      </w:r>
    </w:p>
    <w:p>
      <w:pPr>
        <w:pStyle w:val="ListBullet"/>
        <w:numPr>
          <w:ilvl w:val="0"/>
          <w:numId w:val="37"/>
        </w:numPr>
        <w:spacing/>
        <w:rPr/>
      </w:pPr>
      <w:r>
        <w:rPr/>
        <w:t xml:space="preserve">In addition, the following further information can assist guests:</w:t>
      </w:r>
    </w:p>
    <w:p>
      <w:pPr>
        <w:spacing/>
        <w:rPr/>
      </w:pPr>
      <w:r>
        <w:rPr/>
        <w:t xml:space="preserve">N/A</w:t>
      </w:r>
    </w:p>
    <w:p>
      <w:pPr>
        <w:pStyle w:val="ListBullet"/>
        <w:numPr>
          <w:ilvl w:val="0"/>
          <w:numId w:val="37"/>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1554mm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pBdr/>
        <w:spacing/>
        <w:rPr>
          <w:sz w:val="24"/>
        </w:rPr>
      </w:pPr>
      <w:r>
        <w:rPr>
          <w:sz w:val="24"/>
        </w:rPr>
        <w:t xml:space="preserve">There is a 'Changing Place' within 1400mm of our business</w:t>
      </w:r>
    </w:p>
    <w:p>
      <w:pPr>
        <w:pStyle w:val="ListBullet"/>
        <w:numPr>
          <w:ilvl w:val="0"/>
          <w:numId w:val="37"/>
        </w:numPr>
        <w:spacing/>
        <w:rPr/>
      </w:pPr>
      <w:r>
        <w:rPr/>
        <w:t xml:space="preserve">In addition, the following further information can assist guests:</w:t>
      </w:r>
    </w:p>
    <w:p>
      <w:pPr>
        <w:spacing/>
        <w:rPr/>
      </w:pPr>
      <w:r>
        <w:rPr/>
        <w:t xml:space="preserve">N/A</w:t>
      </w:r>
    </w:p>
    <w:p>
      <w:pPr>
        <w:pStyle w:val="Heading1"/>
        <w:spacing w:line="420" w:lineRule="exact"/>
        <w:rPr/>
      </w:pPr>
      <w:bookmarkStart w:id="21" w:name="_Toc0000000017"/>
      <w:r>
        <w:rPr/>
        <w:t xml:space="preserve">FOOD AND DRINK</w:t>
      </w:r>
      <w:bookmarkEnd w:id="21"/>
    </w:p>
    <w:p>
      <w:pPr>
        <w:spacing/>
        <w:rPr/>
      </w:pPr>
      <w:r>
        <w:rPr/>
        <w:t xml:space="preserve"> </w:t>
      </w:r>
    </w:p>
    <w:p>
      <w:pPr>
        <w:pStyle w:val="Heading2"/>
        <w:spacing/>
        <w:rPr/>
      </w:pPr>
      <w:bookmarkStart w:id="22" w:name="_Toc0000000018"/>
      <w:r>
        <w:rPr/>
        <w:t xml:space="preserve">Dining Spaces</w:t>
      </w:r>
      <w:bookmarkEnd w:id="22"/>
    </w:p>
    <w:p>
      <w:pPr>
        <w:spacing/>
        <w:rPr/>
      </w:pPr>
      <w:r>
        <w:rPr/>
        <w:t xml:space="preserve">The dining spaces  have the following facilities/amenities in place</w:t>
      </w:r>
    </w:p>
    <w:p>
      <w:pPr>
        <w:pStyle w:val="ListBullet"/>
        <w:numPr>
          <w:ilvl w:val="0"/>
          <w:numId w:val="37"/>
        </w:numPr>
        <w:spacing/>
        <w:rPr/>
      </w:pPr>
      <w:r>
        <w:rPr/>
        <w:t xml:space="preserve">The entrance has level access</w:t>
      </w:r>
    </w:p>
    <w:p>
      <w:pPr>
        <w:pStyle w:val="ListBullet"/>
        <w:numPr>
          <w:ilvl w:val="0"/>
          <w:numId w:val="37"/>
        </w:numPr>
        <w:spacing/>
        <w:rPr/>
      </w:pPr>
      <w:r>
        <w:rPr/>
        <w:t xml:space="preserve">The doorway is at least 850mm wide</w:t>
      </w:r>
    </w:p>
    <w:p>
      <w:pPr>
        <w:pStyle w:val="ListBullet"/>
        <w:numPr>
          <w:ilvl w:val="0"/>
          <w:numId w:val="37"/>
        </w:numPr>
        <w:spacing/>
        <w:rPr/>
      </w:pPr>
      <w:r>
        <w:rPr/>
        <w:t xml:space="preserve">There is level access through the dining area</w:t>
      </w:r>
    </w:p>
    <w:p>
      <w:pPr>
        <w:pStyle w:val="ListBullet"/>
        <w:numPr>
          <w:ilvl w:val="0"/>
          <w:numId w:val="37"/>
        </w:numPr>
        <w:spacing/>
        <w:rPr/>
      </w:pPr>
      <w:r>
        <w:rPr/>
        <w:t xml:space="preserve">Chairs are moveable to allow for wheelchairs to be seated at the tables</w:t>
      </w:r>
    </w:p>
    <w:p>
      <w:pPr>
        <w:pStyle w:val="ListBullet"/>
        <w:numPr>
          <w:ilvl w:val="0"/>
          <w:numId w:val="37"/>
        </w:numPr>
        <w:spacing/>
        <w:rPr/>
      </w:pPr>
      <w:r>
        <w:rPr/>
        <w:t xml:space="preserve">All glass doors and full height windows have contrast markings</w:t>
      </w:r>
    </w:p>
    <w:p>
      <w:pPr>
        <w:pStyle w:val="ListBullet"/>
        <w:numPr>
          <w:ilvl w:val="0"/>
          <w:numId w:val="37"/>
        </w:numPr>
        <w:spacing/>
        <w:rPr/>
      </w:pPr>
      <w:r>
        <w:rPr/>
        <w:t xml:space="preserve">There are areas of full lighting</w:t>
      </w:r>
    </w:p>
    <w:p>
      <w:pPr>
        <w:pStyle w:val="ListBullet"/>
        <w:numPr>
          <w:ilvl w:val="0"/>
          <w:numId w:val="37"/>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7"/>
        </w:numPr>
        <w:spacing/>
        <w:rPr/>
      </w:pPr>
      <w:r>
        <w:rPr/>
        <w:t xml:space="preserve">Sugar free (diabetic)</w:t>
      </w:r>
    </w:p>
    <w:p>
      <w:pPr>
        <w:pStyle w:val="ListBullet"/>
        <w:numPr>
          <w:ilvl w:val="0"/>
          <w:numId w:val="37"/>
        </w:numPr>
        <w:spacing/>
        <w:rPr/>
      </w:pPr>
      <w:r>
        <w:rPr/>
        <w:t xml:space="preserve">Gluten free (celiac)</w:t>
      </w:r>
    </w:p>
    <w:p>
      <w:pPr>
        <w:pStyle w:val="ListBullet"/>
        <w:numPr>
          <w:ilvl w:val="0"/>
          <w:numId w:val="37"/>
        </w:numPr>
        <w:spacing/>
        <w:rPr/>
      </w:pPr>
      <w:r>
        <w:rPr/>
        <w:t xml:space="preserve">Lactose free (dairy free)</w:t>
      </w:r>
    </w:p>
    <w:p>
      <w:pPr>
        <w:pStyle w:val="ListBullet"/>
        <w:numPr>
          <w:ilvl w:val="0"/>
          <w:numId w:val="37"/>
        </w:numPr>
        <w:spacing/>
        <w:rPr/>
      </w:pPr>
      <w:r>
        <w:rPr/>
        <w:t xml:space="preserve">Low fat and  fibre with no gastric content</w:t>
      </w:r>
    </w:p>
    <w:p>
      <w:pPr>
        <w:pStyle w:val="ListBullet"/>
        <w:numPr>
          <w:ilvl w:val="0"/>
          <w:numId w:val="37"/>
        </w:numPr>
        <w:spacing/>
        <w:rPr/>
      </w:pPr>
      <w:r>
        <w:rPr/>
        <w:t xml:space="preserve">Low potassium</w:t>
      </w:r>
    </w:p>
    <w:p>
      <w:pPr>
        <w:pStyle w:val="ListBullet"/>
        <w:numPr>
          <w:ilvl w:val="0"/>
          <w:numId w:val="37"/>
        </w:numPr>
        <w:spacing/>
        <w:rPr/>
      </w:pPr>
      <w:r>
        <w:rPr/>
        <w:t xml:space="preserve">Low sodium</w:t>
      </w:r>
    </w:p>
    <w:p>
      <w:pPr>
        <w:pStyle w:val="ListBullet"/>
        <w:numPr>
          <w:ilvl w:val="0"/>
          <w:numId w:val="37"/>
        </w:numPr>
        <w:spacing/>
        <w:rPr/>
      </w:pPr>
      <w:r>
        <w:rPr/>
        <w:t xml:space="preserve">Nut free</w:t>
      </w:r>
    </w:p>
    <w:p>
      <w:pPr>
        <w:pStyle w:val="ListBullet"/>
        <w:numPr>
          <w:ilvl w:val="0"/>
          <w:numId w:val="37"/>
        </w:numPr>
        <w:spacing/>
        <w:rPr/>
      </w:pPr>
      <w:r>
        <w:rPr/>
        <w:t xml:space="preserve">Additive free</w:t>
      </w:r>
    </w:p>
    <w:p>
      <w:pPr>
        <w:pStyle w:val="ListBullet"/>
        <w:numPr>
          <w:ilvl w:val="0"/>
          <w:numId w:val="37"/>
        </w:numPr>
        <w:spacing/>
        <w:rPr/>
      </w:pPr>
      <w:r>
        <w:rPr/>
        <w:t xml:space="preserve">Organic</w:t>
      </w:r>
    </w:p>
    <w:p>
      <w:pPr>
        <w:pStyle w:val="ListBullet"/>
        <w:numPr>
          <w:ilvl w:val="0"/>
          <w:numId w:val="37"/>
        </w:numPr>
        <w:spacing/>
        <w:rPr/>
      </w:pPr>
      <w:r>
        <w:rPr/>
        <w:t xml:space="preserve">Vegetarian</w:t>
      </w:r>
    </w:p>
    <w:p>
      <w:pPr>
        <w:pStyle w:val="ListBullet"/>
        <w:numPr>
          <w:ilvl w:val="0"/>
          <w:numId w:val="37"/>
        </w:numPr>
        <w:spacing/>
        <w:rPr/>
      </w:pPr>
      <w:r>
        <w:rPr/>
        <w:t xml:space="preserve">Vegan</w:t>
      </w:r>
    </w:p>
    <w:p>
      <w:pPr>
        <w:pStyle w:val="ListBullet"/>
        <w:pBdr/>
        <w:spacing/>
        <w:rPr>
          <w:sz w:val="24"/>
        </w:rPr>
      </w:pPr>
      <w:r>
        <w:rPr>
          <w:sz w:val="24"/>
        </w:rPr>
        <w:t xml:space="preserve">There are procedures in place to avoid cross-contamination of food products</w:t>
      </w:r>
    </w:p>
    <w:p>
      <w:pPr>
        <w:pStyle w:val="Subtitle"/>
        <w:spacing/>
        <w:rPr/>
      </w:pPr>
      <w:r>
        <w:rPr/>
        <w:t xml:space="preserve">Food and Beverage Image(s)</w:t>
      </w:r>
    </w:p>
    <w:p>
      <w:pPr>
        <w:spacing/>
        <w:rPr/>
      </w:pPr>
      <w:r>
        <w:rPr/>
        <w:drawing>
          <wp:inline>
            <wp:extent cx="2540000" cy="1905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1"/>
                    <a:srcRect/>
                    <a:stretch>
                      <a:fillRect/>
                    </a:stretch>
                  </pic:blipFill>
                  <pic:spPr bwMode="auto">
                    <a:xfrm>
                      <a:off x="0" y="0"/>
                      <a:ext cx="2540000" cy="1905000"/>
                    </a:xfrm>
                    <a:prstGeom prst="rect">
                      <a:avLst/>
                    </a:prstGeom>
                  </pic:spPr>
                </pic:pic>
              </a:graphicData>
            </a:graphic>
          </wp:inline>
        </w:drawing>
      </w:r>
    </w:p>
    <w:p>
      <w:pPr>
        <w:spacing/>
        <w:rPr/>
      </w:pPr>
      <w:r>
        <w:rPr/>
        <w:t xml:space="preserve">20240531_144618</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2"/>
                    <a:srcRect/>
                    <a:stretch>
                      <a:fillRect/>
                    </a:stretch>
                  </pic:blipFill>
                  <pic:spPr bwMode="auto">
                    <a:xfrm>
                      <a:off x="0" y="0"/>
                      <a:ext cx="2540000" cy="1905000"/>
                    </a:xfrm>
                    <a:prstGeom prst="rect">
                      <a:avLst/>
                    </a:prstGeom>
                  </pic:spPr>
                </pic:pic>
              </a:graphicData>
            </a:graphic>
          </wp:inline>
        </w:drawing>
      </w:r>
    </w:p>
    <w:p>
      <w:pPr>
        <w:spacing/>
        <w:rPr/>
      </w:pPr>
      <w:r>
        <w:rPr/>
        <w:t xml:space="preserve">20240531_144625</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3"/>
                    <a:srcRect/>
                    <a:stretch>
                      <a:fillRect/>
                    </a:stretch>
                  </pic:blipFill>
                  <pic:spPr bwMode="auto">
                    <a:xfrm>
                      <a:off x="0" y="0"/>
                      <a:ext cx="2540000" cy="1905000"/>
                    </a:xfrm>
                    <a:prstGeom prst="rect">
                      <a:avLst/>
                    </a:prstGeom>
                  </pic:spPr>
                </pic:pic>
              </a:graphicData>
            </a:graphic>
          </wp:inline>
        </w:drawing>
      </w:r>
    </w:p>
    <w:p>
      <w:pPr>
        <w:spacing/>
        <w:rPr/>
      </w:pPr>
      <w:r>
        <w:rPr/>
        <w:t xml:space="preserve">20240531_144637</w:t>
      </w:r>
    </w:p>
    <w:p>
      <w:pPr>
        <w:spacing/>
        <w:rPr/>
      </w:pPr>
      <w:r>
        <w:rPr/>
        <w:drawing>
          <wp:inline>
            <wp:extent cx="2540000" cy="1905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4"/>
                    <a:srcRect/>
                    <a:stretch>
                      <a:fillRect/>
                    </a:stretch>
                  </pic:blipFill>
                  <pic:spPr bwMode="auto">
                    <a:xfrm>
                      <a:off x="0" y="0"/>
                      <a:ext cx="2540000" cy="1905000"/>
                    </a:xfrm>
                    <a:prstGeom prst="rect">
                      <a:avLst/>
                    </a:prstGeom>
                  </pic:spPr>
                </pic:pic>
              </a:graphicData>
            </a:graphic>
          </wp:inline>
        </w:drawing>
      </w:r>
    </w:p>
    <w:p>
      <w:pPr>
        <w:spacing/>
        <w:rPr/>
      </w:pPr>
      <w:r>
        <w:rPr/>
        <w:t xml:space="preserve">20240531_144644</w:t>
      </w:r>
    </w:p>
    <w:p>
      <w:pPr>
        <w:pStyle w:val="ListBullet"/>
        <w:numPr>
          <w:ilvl w:val="0"/>
          <w:numId w:val="37"/>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are a distillery producing low risk, high quality spirits, gin &amp; liqueurs.</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3" w:name="_Toc0000000019"/>
      <w:r>
        <w:rPr/>
        <w:t xml:space="preserve">Report Disclaimer</w:t>
      </w:r>
      <w:bookmarkEnd w:id="23"/>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5" name="Picture 5"/>
              <a:graphic>
                <a:graphicData uri="http://schemas.openxmlformats.org/drawingml/2006/picture">
                  <pic:pic>
                    <pic:nvPicPr>
                      <pic:cNvPr id="0" name="" descr=""/>
                      <pic:cNvPicPr>
                        <a:picLocks noChangeAspect="1" noChangeArrowheads="1"/>
                      </pic:cNvPicPr>
                    </pic:nvPicPr>
                    <pic:blipFill>
                      <a:blip r:embed="rId25"/>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6" Type="http://schemas.openxmlformats.org/officeDocument/2006/relationships/styles" Target="styles.xml" /><Relationship Id="rId27" Type="http://schemas.openxmlformats.org/officeDocument/2006/relationships/settings" Target="settings.xml" /><Relationship Id="rId28" Type="http://schemas.openxmlformats.org/officeDocument/2006/relationships/theme" Target="theme/theme1.xml" /><Relationship Id="rId29" Type="http://schemas.openxmlformats.org/officeDocument/2006/relationships/numbering" Target="numbering.xml" /><Relationship Id="rId1" Type="http://schemas.openxmlformats.org/officeDocument/2006/relationships/footer" Target="footer1.xml" /><Relationship Id="rId30" Type="http://schemas.openxmlformats.org/officeDocument/2006/relationships/fontTable" Target="fontTable.xml" /><Relationship Id="rId21" Type="http://schemas.openxmlformats.org/officeDocument/2006/relationships/image" Target="media/image3.jpeg" /><Relationship Id="rId22" Type="http://schemas.openxmlformats.org/officeDocument/2006/relationships/image" Target="media/image4.jpeg" /><Relationship Id="rId23" Type="http://schemas.openxmlformats.org/officeDocument/2006/relationships/image" Target="media/image5.jpeg" /><Relationship Id="rId24" Type="http://schemas.openxmlformats.org/officeDocument/2006/relationships/image" Target="media/image6.jpeg" /><Relationship Id="rId31" Type="http://schemas.openxmlformats.org/officeDocument/2006/relationships/customXml" Target="../customXml/item1.xml" /><Relationship Id="rId32" Type="http://schemas.openxmlformats.org/officeDocument/2006/relationships/customXml" Target="../customXml/item2.xml" /><Relationship Id="rId33" Type="http://schemas.openxmlformats.org/officeDocument/2006/relationships/customXml" Target="../customXml/item3.xml" /><Relationship Id="rId34"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5"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