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The Truffle Farm</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844 Mole Creek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DELORAINE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Anna Terry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0437849283</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hello@thetrufflefarmtasmania.com.au </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https://www.thetrufflefarmtasmania.com.au/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2026-10-24 04:03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2"/>
            <w:tabs>
              <w:tab w:val="right" w:leader="dot" w:pos="9016"/>
            </w:tabs>
            <w:spacing/>
            <w:rPr/>
          </w:pPr>
          <w:hyperlink w:anchor="_Toc0000000023" w:history="1">
            <w:r>
              <w:rPr>
                <w:rStyle w:val="Hyperlink"/>
              </w:rPr>
              <w:t xml:space="preserve">Parks and gardens</w:t>
            </w:r>
            <w:r>
              <w:rPr/>
              <w:tab/>
              <w:t xml:space="preserve"/>
            </w:r>
            <w:r>
              <w:rPr/>
              <w:fldChar w:fldCharType="begin"/>
            </w:r>
            <w:r>
              <w:rPr/>
              <w:instrText>PAGEREF _Toc0000000023 \h</w:instrText>
            </w:r>
            <w:r>
              <w:rPr/>
              <w:fldChar w:fldCharType="separate"/>
            </w:r>
            <w:r>
              <w:rPr/>
              <w:t xml:space="preserve">10</w:t>
            </w:r>
            <w:r>
              <w:rPr/>
              <w:fldChar w:fldCharType="end"/>
            </w:r>
          </w:hyperlink>
        </w:p>
        <w:p>
          <w:pPr>
            <w:pStyle w:val="TOC1"/>
            <w:tabs>
              <w:tab w:val="right" w:leader="dot" w:pos="9016"/>
            </w:tabs>
            <w:spacing/>
            <w:rPr/>
          </w:pPr>
          <w:hyperlink w:anchor="_Toc0000000024" w:history="1">
            <w:r>
              <w:rPr>
                <w:rStyle w:val="Hyperlink"/>
              </w:rPr>
              <w:t xml:space="preserve">FOOD AND DRINK</w:t>
            </w:r>
            <w:r>
              <w:rPr/>
              <w:tab/>
              <w:t xml:space="preserve"/>
            </w:r>
            <w:r>
              <w:rPr/>
              <w:fldChar w:fldCharType="begin"/>
            </w:r>
            <w:r>
              <w:rPr/>
              <w:instrText>PAGEREF _Toc0000000024 \h</w:instrText>
            </w:r>
            <w:r>
              <w:rPr/>
              <w:fldChar w:fldCharType="separate"/>
            </w:r>
            <w:r>
              <w:rPr/>
              <w:t xml:space="preserve">11</w:t>
            </w:r>
            <w:r>
              <w:rPr/>
              <w:fldChar w:fldCharType="end"/>
            </w:r>
          </w:hyperlink>
        </w:p>
        <w:p>
          <w:pPr>
            <w:pStyle w:val="TOC2"/>
            <w:tabs>
              <w:tab w:val="right" w:leader="dot" w:pos="9016"/>
            </w:tabs>
            <w:spacing/>
            <w:rPr/>
          </w:pPr>
          <w:hyperlink w:anchor="_Toc0000000025" w:history="1">
            <w:r>
              <w:rPr>
                <w:rStyle w:val="Hyperlink"/>
              </w:rPr>
              <w:t xml:space="preserve">Dining Spaces</w:t>
            </w:r>
            <w:r>
              <w:rPr/>
              <w:tab/>
              <w:t xml:space="preserve"/>
            </w:r>
            <w:r>
              <w:rPr/>
              <w:fldChar w:fldCharType="begin"/>
            </w:r>
            <w:r>
              <w:rPr/>
              <w:instrText>PAGEREF _Toc0000000025 \h</w:instrText>
            </w:r>
            <w:r>
              <w:rPr/>
              <w:fldChar w:fldCharType="separate"/>
            </w:r>
            <w:r>
              <w:rPr/>
              <w:t xml:space="preserve">11</w:t>
            </w:r>
            <w:r>
              <w:rPr/>
              <w:fldChar w:fldCharType="end"/>
            </w:r>
          </w:hyperlink>
        </w:p>
        <w:p>
          <w:pPr>
            <w:pStyle w:val="TOC2"/>
            <w:tabs>
              <w:tab w:val="right" w:leader="dot" w:pos="9016"/>
            </w:tabs>
            <w:spacing/>
            <w:rPr/>
          </w:pPr>
          <w:hyperlink w:anchor="_Toc0000000026" w:history="1">
            <w:r>
              <w:rPr>
                <w:rStyle w:val="Hyperlink"/>
              </w:rPr>
              <w:t xml:space="preserve">Report Disclaimer</w:t>
            </w:r>
            <w:r>
              <w:rPr/>
              <w:tab/>
              <w:t xml:space="preserve"/>
            </w:r>
            <w:r>
              <w:rPr/>
              <w:fldChar w:fldCharType="begin"/>
            </w:r>
            <w:r>
              <w:rPr/>
              <w:instrText>PAGEREF _Toc0000000026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All tour experiences are located outdoors.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Guests requiring additional assistance in the event of an emergency will be identified by staff prior to tour experiences commencing.</w:t>
      </w:r>
    </w:p>
    <w:p>
      <w:pPr>
        <w:pBdr/>
        <w:spacing/>
        <w:rPr>
          <w:sz w:val="24"/>
        </w:rPr>
      </w:pPr>
      <w:r>
        <w:rPr>
          <w:sz w:val="24"/>
        </w:rPr>
        <w:t xml:space="preserve">The procedure for assisting guests who need assisted rescue is: Guests requiring additional assistance in the event of an emergency will be identified by staff prior to tour experiences commencing and supported one-to-one.</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8" w:history="1">
        <w:r>
          <w:rPr>
            <w:rStyle w:val="Hyperlink"/>
            <w:sz w:val="24"/>
          </w:rPr>
          <w:t xml:space="preserve">https://accreditation.qualitytourismaustralia.com/report/AccessReportPublicHtml2/aaf6ac01-56f5-ee11-b426-6045bd3f338d</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dogs are welcome. Designated sheltered areas are provided for them along with water bowl and toilet area.</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Bdr/>
        <w:spacing/>
        <w:rPr>
          <w:sz w:val="24"/>
        </w:rPr>
      </w:pPr>
      <w:r>
        <w:rPr>
          <w:sz w:val="24"/>
        </w:rPr>
        <w:t xml:space="preserve">Staff provide assistance for bookings when required/requested.</w:t>
      </w:r>
    </w:p>
    <w:p>
      <w:pPr>
        <w:pBdr/>
        <w:spacing/>
        <w:rPr>
          <w:sz w:val="24"/>
        </w:rPr>
      </w:pPr>
      <w:r>
        <w:rPr>
          <w:sz w:val="24"/>
        </w:rPr>
        <w:t xml:space="preserve">The following steps are in place to ensure that people with fatigue related to their disability are not disadvantaged by long wait times: Seats are available near reception. Guests with mobility limitations are prioritised on truffle hunts to allow for minimal standing/walking and then seated comfortably while other guests complete their turn.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In addition, the following further information can assist guests:</w:t>
      </w:r>
    </w:p>
    <w:p>
      <w:pPr>
        <w:spacing/>
        <w:rPr/>
      </w:pPr>
      <w:r>
        <w:rPr/>
        <w:t xml:space="preserve">The Truffle Farm is not accessible by public transport (except taxi/uber).</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In addition, the following further information can assist guests:</w:t>
      </w:r>
    </w:p>
    <w:p>
      <w:pPr>
        <w:spacing/>
        <w:rPr/>
      </w:pPr>
      <w:r>
        <w:rPr/>
        <w:t xml:space="preserve">There are no glass doors at The Truffle Farm.</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Bdr/>
        <w:spacing/>
        <w:rPr>
          <w:sz w:val="24"/>
        </w:rPr>
      </w:pPr>
      <w:r>
        <w:rPr>
          <w:sz w:val="24"/>
        </w:rPr>
        <w:t xml:space="preserve">The width of the smallest corridor is: There are no corridors at The Truffle Farm.</w:t>
      </w:r>
    </w:p>
    <w:p>
      <w:pPr>
        <w:pStyle w:val="ListBullet"/>
        <w:numPr>
          <w:ilvl w:val="0"/>
          <w:numId w:val="37"/>
        </w:numPr>
        <w:spacing/>
        <w:rPr/>
      </w:pPr>
      <w:r>
        <w:rPr/>
        <w:t xml:space="preserve">In addition, the following further information can assist guests:</w:t>
      </w:r>
    </w:p>
    <w:p>
      <w:pPr>
        <w:spacing/>
        <w:rPr/>
      </w:pPr>
      <w:r>
        <w:rPr/>
        <w:t xml:space="preserve">Breakaway areas adjacent to our purpose-built tour shed can be arranged.</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Seating is provided in our garden area at the Farmgate shop.</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Bdr/>
        <w:spacing/>
        <w:rPr>
          <w:sz w:val="24"/>
        </w:rPr>
      </w:pPr>
      <w:r>
        <w:rPr>
          <w:sz w:val="24"/>
        </w:rPr>
        <w:t xml:space="preserve">There are no steps at The Truffle Farm.</w:t>
      </w:r>
    </w:p>
    <w:p>
      <w:pPr>
        <w:pBdr/>
        <w:spacing/>
        <w:rPr>
          <w:sz w:val="24"/>
        </w:rPr>
      </w:pPr>
      <w:r>
        <w:rPr>
          <w:sz w:val="24"/>
        </w:rPr>
        <w:t xml:space="preserve">There are no steps at The Truffle Farm.</w:t>
      </w:r>
    </w:p>
    <w:p>
      <w:pPr>
        <w:pStyle w:val="ListBullet"/>
        <w:numPr>
          <w:ilvl w:val="0"/>
          <w:numId w:val="37"/>
        </w:numPr>
        <w:spacing/>
        <w:rPr/>
      </w:pPr>
      <w:r>
        <w:rPr/>
        <w:t xml:space="preserve">In addition, the following further information can assist guests:</w:t>
      </w:r>
    </w:p>
    <w:p>
      <w:pPr>
        <w:spacing/>
        <w:rPr/>
      </w:pPr>
      <w:r>
        <w:rPr/>
        <w:t xml:space="preserve">The farmgate shop is all-accessible with level (gravel) surfaces from the carpark to shop entry (around 35m), and the entry door has a very low doorframe to gain access to the shop. </w:t>
      </w:r>
    </w:p>
    <w:p>
      <w:pPr>
        <w:pBdr/>
        <w:spacing/>
        <w:rPr/>
      </w:pPr>
      <w:r>
        <w:rPr/>
        <w:t xml:space="preserve"/>
      </w:r>
    </w:p>
    <w:p>
      <w:pPr>
        <w:pBdr/>
        <w:spacing/>
        <w:rPr/>
      </w:pPr>
      <w:r>
        <w:rPr/>
        <w:t xml:space="preserve">The Truffle Farm have previously customised tours for guests with accessibility requirements. Wheelchairs and mobility aids can be accommodated.</w:t>
      </w:r>
    </w:p>
    <w:p>
      <w:pPr>
        <w:pBdr/>
        <w:spacing/>
        <w:rPr/>
      </w:pPr>
      <w:r>
        <w:rPr/>
        <w:t xml:space="preserve"/>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1700mm mm of clear space in front of the toilet</w:t>
      </w:r>
    </w:p>
    <w:p>
      <w:pPr>
        <w:pStyle w:val="ListBullet"/>
        <w:numPr>
          <w:ilvl w:val="0"/>
          <w:numId w:val="37"/>
        </w:numPr>
        <w:spacing/>
        <w:rPr/>
      </w:pPr>
      <w:r>
        <w:rPr/>
        <w:t xml:space="preserve">The toilet seat is460mm above the floor</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In addition, the following further information can assist guests:</w:t>
      </w:r>
    </w:p>
    <w:p>
      <w:pPr>
        <w:spacing/>
        <w:rPr/>
      </w:pPr>
      <w:r>
        <w:rPr/>
        <w:t xml:space="preserve">Transport services are not provided by this business.  The Truffle farm is located 45mins from Launceston and can accessed by private vehicle or private transportation service.</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Subtitle"/>
        <w:spacing/>
        <w:rPr/>
      </w:pPr>
      <w:r>
        <w:rPr/>
        <w:t xml:space="preserve">Image(s)</w:t>
      </w:r>
    </w:p>
    <w:p>
      <w:pPr>
        <w:spacing/>
        <w:rPr/>
      </w:pPr>
      <w:r>
        <w:rPr/>
        <w:drawing>
          <wp:inline>
            <wp:extent cx="2540000" cy="12192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219200"/>
                    </a:xfrm>
                    <a:prstGeom prst="rect">
                      <a:avLst/>
                    </a:prstGeom>
                  </pic:spPr>
                </pic:pic>
              </a:graphicData>
            </a:graphic>
          </wp:inline>
        </w:drawing>
      </w:r>
    </w:p>
    <w:p>
      <w:pPr>
        <w:spacing/>
        <w:rPr/>
      </w:pPr>
      <w:r>
        <w:rPr/>
        <w:t xml:space="preserve">Large carpark signage with directional arrow_Compacted gravel surface</w:t>
      </w:r>
    </w:p>
    <w:p>
      <w:pPr>
        <w:pStyle w:val="ListBullet"/>
        <w:numPr>
          <w:ilvl w:val="0"/>
          <w:numId w:val="37"/>
        </w:numPr>
        <w:spacing/>
        <w:rPr/>
      </w:pPr>
      <w:r>
        <w:rPr/>
        <w:t xml:space="preserve">In addition, the following further information can assist guests:</w:t>
      </w:r>
    </w:p>
    <w:p>
      <w:pPr>
        <w:spacing/>
        <w:rPr/>
      </w:pPr>
      <w:r>
        <w:rPr/>
        <w:t xml:space="preserve">Two staff are currently enrolled in and participating in Auslan courses.</w:t>
      </w:r>
    </w:p>
    <w:p>
      <w:pPr>
        <w:pStyle w:val="Heading1"/>
        <w:spacing w:line="420" w:lineRule="exact"/>
        <w:rPr/>
      </w:pPr>
      <w:bookmarkStart w:id="26" w:name="_Toc0000000022"/>
      <w:r>
        <w:rPr/>
        <w:t xml:space="preserve">COMMON AREAS</w:t>
      </w:r>
      <w:bookmarkEnd w:id="26"/>
    </w:p>
    <w:p>
      <w:pPr>
        <w:pStyle w:val="Subtitle"/>
        <w:spacing/>
        <w:rPr/>
      </w:pPr>
      <w:r>
        <w:rPr/>
        <w:t xml:space="preserve">Image(s)</w:t>
      </w:r>
    </w:p>
    <w:p>
      <w:pPr>
        <w:spacing/>
        <w:rPr/>
      </w:pPr>
      <w:r>
        <w:rPr/>
        <w:drawing>
          <wp:inline>
            <wp:extent cx="2540000" cy="12192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219200"/>
                    </a:xfrm>
                    <a:prstGeom prst="rect">
                      <a:avLst/>
                    </a:prstGeom>
                  </pic:spPr>
                </pic:pic>
              </a:graphicData>
            </a:graphic>
          </wp:inline>
        </w:drawing>
      </w:r>
    </w:p>
    <w:p>
      <w:pPr>
        <w:spacing/>
        <w:rPr/>
      </w:pPr>
      <w:r>
        <w:rPr/>
        <w:t xml:space="preserve">THE TRUFFLE FARM_CARPARK SIGN</w:t>
      </w:r>
    </w:p>
    <w:p>
      <w:pPr>
        <w:pStyle w:val="ListBullet"/>
        <w:numPr>
          <w:ilvl w:val="0"/>
          <w:numId w:val="37"/>
        </w:numPr>
        <w:spacing/>
        <w:rPr/>
      </w:pPr>
      <w:r>
        <w:rPr/>
        <w:t xml:space="preserve">In addition, the following further information can assist guests:</w:t>
      </w:r>
    </w:p>
    <w:p>
      <w:pPr>
        <w:spacing/>
        <w:rPr/>
      </w:pPr>
      <w:r>
        <w:rPr/>
        <w:t xml:space="preserve">The Truffle Farm does not have a designated play space, however the farmgate shop boasts a a large grassed and garden area for relaxing, playing and resting.  An outdoor 'find-the-dogs' game is available for children.</w:t>
      </w:r>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7"/>
        </w:numPr>
        <w:spacing/>
        <w:rPr/>
      </w:pPr>
      <w:r>
        <w:rPr/>
        <w:t xml:space="preserve">Seats are provided at regular intervals</w:t>
      </w:r>
    </w:p>
    <w:p>
      <w:pPr>
        <w:pStyle w:val="Subtitle"/>
        <w:spacing/>
        <w:rPr/>
      </w:pPr>
      <w:r>
        <w:rPr/>
        <w:t xml:space="preserve">Parks and Gardens Access/Entry Image(s)</w:t>
      </w:r>
    </w:p>
    <w:p>
      <w:pPr>
        <w:spacing/>
        <w:rPr/>
      </w:pPr>
      <w:r>
        <w:rPr/>
        <w:drawing>
          <wp:inline>
            <wp:extent cx="2540000" cy="15494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549400"/>
                    </a:xfrm>
                    <a:prstGeom prst="rect">
                      <a:avLst/>
                    </a:prstGeom>
                  </pic:spPr>
                </pic:pic>
              </a:graphicData>
            </a:graphic>
          </wp:inline>
        </w:drawing>
      </w:r>
    </w:p>
    <w:p>
      <w:pPr>
        <w:spacing/>
        <w:rPr/>
      </w:pPr>
      <w:r>
        <w:rPr/>
        <w:t xml:space="preserve">Accessibility Options at The Truffle Farm</w:t>
      </w:r>
    </w:p>
    <w:p>
      <w:pPr>
        <w:pStyle w:val="Heading1"/>
        <w:spacing w:line="420" w:lineRule="exact"/>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pBdr/>
        <w:spacing/>
        <w:rPr>
          <w:sz w:val="24"/>
        </w:rPr>
      </w:pPr>
      <w:r>
        <w:rPr>
          <w:sz w:val="24"/>
        </w:rPr>
        <w:t xml:space="preserve">The smallest doorway is All tour experiences are conducted outdoors and door width is not applicable.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Nut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32" w:history="1">
        <w:r>
          <w:rPr>
            <w:rStyle w:val="Hyperlink"/>
            <w:sz w:val="24"/>
          </w:rPr>
          <w:t xml:space="preserve">https://www.thetrufflefarmtasmania.com.au/home/#unique-lunch</w:t>
        </w:r>
      </w:hyperlink>
    </w:p>
    <w:p>
      <w:pPr>
        <w:pStyle w:val="Subtitle"/>
        <w:spacing/>
        <w:rPr/>
      </w:pPr>
      <w:r>
        <w:rPr/>
        <w:t xml:space="preserve">Food and Beverage Image(s)</w:t>
      </w:r>
    </w:p>
    <w:p>
      <w:pPr>
        <w:spacing/>
        <w:rPr/>
      </w:pPr>
      <w:r>
        <w:rPr/>
        <w:drawing>
          <wp:inline>
            <wp:extent cx="2540000" cy="1549400"/>
            <wp:docPr id="4"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5494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Accessibility Options at The Truffle Farm</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0" w:name="_Toc0000000026"/>
      <w:r>
        <w:rPr/>
        <w:t xml:space="preserve">Report Disclaimer</w:t>
      </w:r>
      <w:bookmarkEnd w:id="3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33"/>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4" Type="http://schemas.openxmlformats.org/officeDocument/2006/relationships/styles" Target="styles.xml" /><Relationship Id="rId35" Type="http://schemas.openxmlformats.org/officeDocument/2006/relationships/settings" Target="settings.xml" /><Relationship Id="rId36" Type="http://schemas.openxmlformats.org/officeDocument/2006/relationships/theme" Target="theme/theme1.xml" /><Relationship Id="rId37" Type="http://schemas.openxmlformats.org/officeDocument/2006/relationships/numbering" Target="numbering.xml" /><Relationship Id="rId1" Type="http://schemas.openxmlformats.org/officeDocument/2006/relationships/footer" Target="footer1.xml" /><Relationship Id="rId38" Type="http://schemas.openxmlformats.org/officeDocument/2006/relationships/fontTable" Target="fontTable.xml" /><Relationship Id="rId29" Type="http://schemas.openxmlformats.org/officeDocument/2006/relationships/image" Target="media/image3.jpeg" /><Relationship Id="rId30" Type="http://schemas.openxmlformats.org/officeDocument/2006/relationships/image" Target="media/image4.jpeg" /><Relationship Id="rId31" Type="http://schemas.openxmlformats.org/officeDocument/2006/relationships/image" Target="media/image5.jpeg" /><Relationship Id="rId28" Type="http://schemas.openxmlformats.org/officeDocument/2006/relationships/hyperlink" Target="https://accreditation.qualitytourismaustralia.com/report/AccessReportPublicHtml2/aaf6ac01-56f5-ee11-b426-6045bd3f338d" TargetMode="External" /><Relationship Id="rId32" Type="http://schemas.openxmlformats.org/officeDocument/2006/relationships/hyperlink" Target="https://www.thetrufflefarmtasmania.com.au/home/#unique-lunch" TargetMode="External" /><Relationship Id="rId39" Type="http://schemas.openxmlformats.org/officeDocument/2006/relationships/customXml" Target="../customXml/item1.xml" /><Relationship Id="rId40" Type="http://schemas.openxmlformats.org/officeDocument/2006/relationships/customXml" Target="../customXml/item2.xml" /><Relationship Id="rId41" Type="http://schemas.openxmlformats.org/officeDocument/2006/relationships/customXml" Target="../customXml/item3.xml" /><Relationship Id="rId42"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3"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