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Harvest 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Copse way</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Cowaramup</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Stephen Hayman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0429 728 687</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indulge@harvesttours.com.au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https://www.harvesttours.com.au/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2026-08-12 00:33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1"/>
            <w:tabs>
              <w:tab w:val="right" w:leader="dot" w:pos="9016"/>
            </w:tabs>
            <w:spacing/>
            <w:rPr/>
          </w:pPr>
          <w:hyperlink w:anchor="_Toc0000000023" w:history="1">
            <w:r>
              <w:rPr>
                <w:rStyle w:val="Hyperlink"/>
              </w:rPr>
              <w:t xml:space="preserve">ACCOMMODATION</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Bedrooms</w:t>
            </w:r>
            <w:r>
              <w:rPr/>
              <w:tab/>
              <w:t xml:space="preserve"/>
            </w:r>
            <w:r>
              <w:rPr/>
              <w:fldChar w:fldCharType="begin"/>
            </w:r>
            <w:r>
              <w:rPr/>
              <w:instrText>PAGEREF _Toc0000000024 \h</w:instrText>
            </w:r>
            <w:r>
              <w:rPr/>
              <w:fldChar w:fldCharType="separate"/>
            </w:r>
            <w:r>
              <w:rPr/>
              <w:t xml:space="preserve">12</w:t>
            </w:r>
            <w:r>
              <w:rPr/>
              <w:fldChar w:fldCharType="end"/>
            </w:r>
          </w:hyperlink>
        </w:p>
        <w:p>
          <w:pPr>
            <w:pStyle w:val="TOC2"/>
            <w:tabs>
              <w:tab w:val="right" w:leader="dot" w:pos="9016"/>
            </w:tabs>
            <w:spacing/>
            <w:rPr/>
          </w:pPr>
          <w:hyperlink w:anchor="_Toc0000000025" w:history="1">
            <w:r>
              <w:rPr>
                <w:rStyle w:val="Hyperlink"/>
              </w:rPr>
              <w:t xml:space="preserve">Room Amenities</w:t>
            </w:r>
            <w:r>
              <w:rPr/>
              <w:tab/>
              <w:t xml:space="preserve"/>
            </w:r>
            <w:r>
              <w:rPr/>
              <w:fldChar w:fldCharType="begin"/>
            </w:r>
            <w:r>
              <w:rPr/>
              <w:instrText>PAGEREF _Toc0000000025 \h</w:instrText>
            </w:r>
            <w:r>
              <w:rPr/>
              <w:fldChar w:fldCharType="separate"/>
            </w:r>
            <w:r>
              <w:rPr/>
              <w:t xml:space="preserve">12</w:t>
            </w:r>
            <w:r>
              <w:rPr/>
              <w:fldChar w:fldCharType="end"/>
            </w:r>
          </w:hyperlink>
        </w:p>
        <w:p>
          <w:pPr>
            <w:pStyle w:val="TOC2"/>
            <w:tabs>
              <w:tab w:val="right" w:leader="dot" w:pos="9016"/>
            </w:tabs>
            <w:spacing/>
            <w:rPr/>
          </w:pPr>
          <w:hyperlink w:anchor="_Toc0000000026" w:history="1">
            <w:r>
              <w:rPr>
                <w:rStyle w:val="Hyperlink"/>
              </w:rPr>
              <w:t xml:space="preserve">Bathrooms</w:t>
            </w:r>
            <w:r>
              <w:rPr/>
              <w:tab/>
              <w:t xml:space="preserve"/>
            </w:r>
            <w:r>
              <w:rPr/>
              <w:fldChar w:fldCharType="begin"/>
            </w:r>
            <w:r>
              <w:rPr/>
              <w:instrText>PAGEREF _Toc0000000026 \h</w:instrText>
            </w:r>
            <w:r>
              <w:rPr/>
              <w:fldChar w:fldCharType="separate"/>
            </w:r>
            <w:r>
              <w:rPr/>
              <w:t xml:space="preserve">13</w:t>
            </w:r>
            <w:r>
              <w:rPr/>
              <w:fldChar w:fldCharType="end"/>
            </w:r>
          </w:hyperlink>
        </w:p>
        <w:p>
          <w:pPr>
            <w:pStyle w:val="TOC1"/>
            <w:tabs>
              <w:tab w:val="right" w:leader="dot" w:pos="9016"/>
            </w:tabs>
            <w:spacing/>
            <w:rPr/>
          </w:pPr>
          <w:hyperlink w:anchor="_Toc0000000027" w:history="1">
            <w:r>
              <w:rPr>
                <w:rStyle w:val="Hyperlink"/>
              </w:rPr>
              <w:t xml:space="preserve">ATTRACTIONS</w:t>
            </w:r>
            <w:r>
              <w:rPr/>
              <w:tab/>
              <w:t xml:space="preserve"/>
            </w:r>
            <w:r>
              <w:rPr/>
              <w:fldChar w:fldCharType="begin"/>
            </w:r>
            <w:r>
              <w:rPr/>
              <w:instrText>PAGEREF _Toc0000000027 \h</w:instrText>
            </w:r>
            <w:r>
              <w:rPr/>
              <w:fldChar w:fldCharType="separate"/>
            </w:r>
            <w:r>
              <w:rPr/>
              <w:t xml:space="preserve">15</w:t>
            </w:r>
            <w:r>
              <w:rPr/>
              <w:fldChar w:fldCharType="end"/>
            </w:r>
          </w:hyperlink>
        </w:p>
        <w:p>
          <w:pPr>
            <w:pStyle w:val="TOC2"/>
            <w:tabs>
              <w:tab w:val="right" w:leader="dot" w:pos="9016"/>
            </w:tabs>
            <w:spacing/>
            <w:rPr/>
          </w:pPr>
          <w:hyperlink w:anchor="_Toc0000000028" w:history="1">
            <w:r>
              <w:rPr>
                <w:rStyle w:val="Hyperlink"/>
              </w:rPr>
              <w:t xml:space="preserve">Zoos and Wildlife Parks</w:t>
            </w:r>
            <w:r>
              <w:rPr/>
              <w:tab/>
              <w:t xml:space="preserve"/>
            </w:r>
            <w:r>
              <w:rPr/>
              <w:fldChar w:fldCharType="begin"/>
            </w:r>
            <w:r>
              <w:rPr/>
              <w:instrText>PAGEREF _Toc0000000028 \h</w:instrText>
            </w:r>
            <w:r>
              <w:rPr/>
              <w:fldChar w:fldCharType="separate"/>
            </w:r>
            <w:r>
              <w:rPr/>
              <w:t xml:space="preserve">15</w:t>
            </w:r>
            <w:r>
              <w:rPr/>
              <w:fldChar w:fldCharType="end"/>
            </w:r>
          </w:hyperlink>
        </w:p>
        <w:p>
          <w:pPr>
            <w:pStyle w:val="TOC1"/>
            <w:tabs>
              <w:tab w:val="right" w:leader="dot" w:pos="9016"/>
            </w:tabs>
            <w:spacing/>
            <w:rPr/>
          </w:pPr>
          <w:hyperlink w:anchor="_Toc0000000029" w:history="1">
            <w:r>
              <w:rPr>
                <w:rStyle w:val="Hyperlink"/>
              </w:rPr>
              <w:t xml:space="preserve">COMMON AREAS</w:t>
            </w:r>
            <w:r>
              <w:rPr/>
              <w:tab/>
              <w:t xml:space="preserve"/>
            </w:r>
            <w:r>
              <w:rPr/>
              <w:fldChar w:fldCharType="begin"/>
            </w:r>
            <w:r>
              <w:rPr/>
              <w:instrText>PAGEREF _Toc0000000029 \h</w:instrText>
            </w:r>
            <w:r>
              <w:rPr/>
              <w:fldChar w:fldCharType="separate"/>
            </w:r>
            <w:r>
              <w:rPr/>
              <w:t xml:space="preserve">16</w:t>
            </w:r>
            <w:r>
              <w:rPr/>
              <w:fldChar w:fldCharType="end"/>
            </w:r>
          </w:hyperlink>
        </w:p>
        <w:p>
          <w:pPr>
            <w:pStyle w:val="TOC2"/>
            <w:tabs>
              <w:tab w:val="right" w:leader="dot" w:pos="9016"/>
            </w:tabs>
            <w:spacing/>
            <w:rPr/>
          </w:pPr>
          <w:hyperlink w:anchor="_Toc0000000030" w:history="1">
            <w:r>
              <w:rPr>
                <w:rStyle w:val="Hyperlink"/>
              </w:rPr>
              <w:t xml:space="preserve">Play Spaces</w:t>
            </w:r>
            <w:r>
              <w:rPr/>
              <w:tab/>
              <w:t xml:space="preserve"/>
            </w:r>
            <w:r>
              <w:rPr/>
              <w:fldChar w:fldCharType="begin"/>
            </w:r>
            <w:r>
              <w:rPr/>
              <w:instrText>PAGEREF _Toc0000000030 \h</w:instrText>
            </w:r>
            <w:r>
              <w:rPr/>
              <w:fldChar w:fldCharType="separate"/>
            </w:r>
            <w:r>
              <w:rPr/>
              <w:t xml:space="preserve">16</w:t>
            </w:r>
            <w:r>
              <w:rPr/>
              <w:fldChar w:fldCharType="end"/>
            </w:r>
          </w:hyperlink>
        </w:p>
        <w:p>
          <w:pPr>
            <w:pStyle w:val="TOC2"/>
            <w:tabs>
              <w:tab w:val="right" w:leader="dot" w:pos="9016"/>
            </w:tabs>
            <w:spacing/>
            <w:rPr/>
          </w:pPr>
          <w:hyperlink w:anchor="_Toc0000000031" w:history="1">
            <w:r>
              <w:rPr>
                <w:rStyle w:val="Hyperlink"/>
              </w:rPr>
              <w:t xml:space="preserve">Parks and gardens</w:t>
            </w:r>
            <w:r>
              <w:rPr/>
              <w:tab/>
              <w:t xml:space="preserve"/>
            </w:r>
            <w:r>
              <w:rPr/>
              <w:fldChar w:fldCharType="begin"/>
            </w:r>
            <w:r>
              <w:rPr/>
              <w:instrText>PAGEREF _Toc0000000031 \h</w:instrText>
            </w:r>
            <w:r>
              <w:rPr/>
              <w:fldChar w:fldCharType="separate"/>
            </w:r>
            <w:r>
              <w:rPr/>
              <w:t xml:space="preserve">16</w:t>
            </w:r>
            <w:r>
              <w:rPr/>
              <w:fldChar w:fldCharType="end"/>
            </w:r>
          </w:hyperlink>
        </w:p>
        <w:p>
          <w:pPr>
            <w:pStyle w:val="TOC1"/>
            <w:tabs>
              <w:tab w:val="right" w:leader="dot" w:pos="9016"/>
            </w:tabs>
            <w:spacing/>
            <w:rPr/>
          </w:pPr>
          <w:hyperlink w:anchor="_Toc0000000032" w:history="1">
            <w:r>
              <w:rPr>
                <w:rStyle w:val="Hyperlink"/>
              </w:rPr>
              <w:t xml:space="preserve">FOOD AND DRINK</w:t>
            </w:r>
            <w:r>
              <w:rPr/>
              <w:tab/>
              <w:t xml:space="preserve"/>
            </w:r>
            <w:r>
              <w:rPr/>
              <w:fldChar w:fldCharType="begin"/>
            </w:r>
            <w:r>
              <w:rPr/>
              <w:instrText>PAGEREF _Toc0000000032 \h</w:instrText>
            </w:r>
            <w:r>
              <w:rPr/>
              <w:fldChar w:fldCharType="separate"/>
            </w:r>
            <w:r>
              <w:rPr/>
              <w:t xml:space="preserve">17</w:t>
            </w:r>
            <w:r>
              <w:rPr/>
              <w:fldChar w:fldCharType="end"/>
            </w:r>
          </w:hyperlink>
        </w:p>
        <w:p>
          <w:pPr>
            <w:pStyle w:val="TOC2"/>
            <w:tabs>
              <w:tab w:val="right" w:leader="dot" w:pos="9016"/>
            </w:tabs>
            <w:spacing/>
            <w:rPr/>
          </w:pPr>
          <w:hyperlink w:anchor="_Toc0000000033" w:history="1">
            <w:r>
              <w:rPr>
                <w:rStyle w:val="Hyperlink"/>
              </w:rPr>
              <w:t xml:space="preserve">Dining Spaces</w:t>
            </w:r>
            <w:r>
              <w:rPr/>
              <w:tab/>
              <w:t xml:space="preserve"/>
            </w:r>
            <w:r>
              <w:rPr/>
              <w:fldChar w:fldCharType="begin"/>
            </w:r>
            <w:r>
              <w:rPr/>
              <w:instrText>PAGEREF _Toc0000000033 \h</w:instrText>
            </w:r>
            <w:r>
              <w:rPr/>
              <w:fldChar w:fldCharType="separate"/>
            </w:r>
            <w:r>
              <w:rPr/>
              <w:t xml:space="preserve">17</w:t>
            </w:r>
            <w:r>
              <w:rPr/>
              <w:fldChar w:fldCharType="end"/>
            </w:r>
          </w:hyperlink>
        </w:p>
        <w:p>
          <w:pPr>
            <w:pStyle w:val="TOC1"/>
            <w:tabs>
              <w:tab w:val="right" w:leader="dot" w:pos="9016"/>
            </w:tabs>
            <w:spacing/>
            <w:rPr/>
          </w:pPr>
          <w:hyperlink w:anchor="_Toc0000000034" w:history="1">
            <w:r>
              <w:rPr>
                <w:rStyle w:val="Hyperlink"/>
              </w:rPr>
              <w:t xml:space="preserve">ADVENTURE ACTIVITIES</w:t>
            </w:r>
            <w:r>
              <w:rPr/>
              <w:tab/>
              <w:t xml:space="preserve"/>
            </w:r>
            <w:r>
              <w:rPr/>
              <w:fldChar w:fldCharType="begin"/>
            </w:r>
            <w:r>
              <w:rPr/>
              <w:instrText>PAGEREF _Toc0000000034 \h</w:instrText>
            </w:r>
            <w:r>
              <w:rPr/>
              <w:fldChar w:fldCharType="separate"/>
            </w:r>
            <w:r>
              <w:rPr/>
              <w:t xml:space="preserve">18</w:t>
            </w:r>
            <w:r>
              <w:rPr/>
              <w:fldChar w:fldCharType="end"/>
            </w:r>
          </w:hyperlink>
        </w:p>
        <w:p>
          <w:pPr>
            <w:pStyle w:val="TOC2"/>
            <w:tabs>
              <w:tab w:val="right" w:leader="dot" w:pos="9016"/>
            </w:tabs>
            <w:spacing/>
            <w:rPr/>
          </w:pPr>
          <w:hyperlink w:anchor="_Toc0000000035" w:history="1">
            <w:r>
              <w:rPr>
                <w:rStyle w:val="Hyperlink"/>
              </w:rPr>
              <w:t xml:space="preserve">Adventure activities</w:t>
            </w:r>
            <w:r>
              <w:rPr/>
              <w:tab/>
              <w:t xml:space="preserve"/>
            </w:r>
            <w:r>
              <w:rPr/>
              <w:fldChar w:fldCharType="begin"/>
            </w:r>
            <w:r>
              <w:rPr/>
              <w:instrText>PAGEREF _Toc0000000035 \h</w:instrText>
            </w:r>
            <w:r>
              <w:rPr/>
              <w:fldChar w:fldCharType="separate"/>
            </w:r>
            <w:r>
              <w:rPr/>
              <w:t xml:space="preserve">18</w:t>
            </w:r>
            <w:r>
              <w:rPr/>
              <w:fldChar w:fldCharType="end"/>
            </w:r>
          </w:hyperlink>
        </w:p>
        <w:p>
          <w:pPr>
            <w:pStyle w:val="TOC2"/>
            <w:tabs>
              <w:tab w:val="right" w:leader="dot" w:pos="9016"/>
            </w:tabs>
            <w:spacing/>
            <w:rPr/>
          </w:pPr>
          <w:hyperlink w:anchor="_Toc0000000036" w:history="1">
            <w:r>
              <w:rPr>
                <w:rStyle w:val="Hyperlink"/>
              </w:rPr>
              <w:t xml:space="preserve">Report Disclaimer</w:t>
            </w:r>
            <w:r>
              <w:rPr/>
              <w:tab/>
              <w:t xml:space="preserve"/>
            </w:r>
            <w:r>
              <w:rPr/>
              <w:fldChar w:fldCharType="begin"/>
            </w:r>
            <w:r>
              <w:rPr/>
              <w:instrText>PAGEREF _Toc0000000036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Accommodation</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All unnecessary luggage is stowed on transport trailer ensuring exit access, checked by driver/guide prior to moving.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www.harvesttours.com.au</w:t>
      </w:r>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website is also in Chinese </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Note pads are made available to assist with communication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Additional space is provided to ensure both the traveller, and their service animal can remain comfortable while staying connected with other guests. Dog areas are clearly signposted, allowing service animals to take breaks, have a drink, and rest during stops. We kindly ask owners to bring bedding and food bowls for their dogs or service animals, as these items support the comfort of the animals and contribute to a welcoming environment for all guests. Our focus is on making each stay accessible and enjoyable, with thoughtful accommodations for every need.</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Booked accommodation by Harvest tours provide detail to all providers and on arrival the driver/guide will assist the guest to their room and ensure they are comfortable, both day and night staff within the the complex are made aware and assist when requested </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These are pointed out to all travellers along with time tables </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They are given a Harvest Tours contact card should they require any assistance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Guest are made aware of whether conditions that may effect their stay</w:t>
      </w:r>
    </w:p>
    <w:p>
      <w:pPr>
        <w:pStyle w:val="ListBullet"/>
        <w:numPr>
          <w:ilvl w:val="0"/>
          <w:numId w:val="37"/>
        </w:numPr>
        <w:spacing/>
        <w:rPr/>
      </w:pPr>
      <w:r>
        <w:rPr/>
        <w:t xml:space="preserve">In addition, the following further information can assist guests:</w:t>
      </w:r>
    </w:p>
    <w:p>
      <w:pPr>
        <w:spacing/>
        <w:rPr/>
      </w:pPr>
      <w:r>
        <w:rPr/>
        <w:t xml:space="preserve">All required information for guests is conveyed at the time of booking and reinforced on collection prior to tour commencing.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guests are advised on building conditions prior to entry, and spaces that can be used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Harvest Tours driver/guide will assist as required</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N/A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pPr>
      <w:r>
        <w:rPr/>
        <w:t xml:space="preserve">Assistance is offered by Harvest Tours and the premieres visited   </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Buses/Coaches: 4 Vehicles 1 x High Roof Accessible bus- seats 9 and 2 wheelchairs, (lift capacity 300kg – loading platform 82.55cm x 121.55cm) 2 x High Roof buses with extended step and support rails (luggage trailers) 1 x 7 seater executive wagon (capacity 4 pax) • Commentary is available in written format on request. vehicles have wheelchair lifts or ramps</w:t>
      </w:r>
    </w:p>
    <w:p>
      <w:pPr>
        <w:pStyle w:val="ListBullet"/>
        <w:pBdr/>
        <w:spacing/>
        <w:rPr>
          <w:sz w:val="24"/>
        </w:rPr>
      </w:pPr>
      <w:r>
        <w:rPr>
          <w:sz w:val="24"/>
        </w:rPr>
        <w:t xml:space="preserve">none vehicles have low floors with ramped entry</w:t>
      </w:r>
    </w:p>
    <w:p>
      <w:pPr>
        <w:pBdr/>
        <w:spacing/>
        <w:rPr>
          <w:sz w:val="24"/>
        </w:rPr>
      </w:pPr>
      <w:r>
        <w:rPr>
          <w:sz w:val="24"/>
        </w:rPr>
        <w:t xml:space="preserve">The maximum wheelchair capacity available in the fleet is: High Roof Accessible bus- seats 9 and 2 wheelchairs </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Harvest Tours driver/guide points out toilet locations at each venue visited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Style w:val="ListBullet"/>
        <w:numPr>
          <w:ilvl w:val="0"/>
          <w:numId w:val="37"/>
        </w:numPr>
        <w:spacing/>
        <w:rPr/>
      </w:pPr>
      <w:r>
        <w:rPr/>
        <w:t xml:space="preserve">For overnight stays, wheelchair accessible rooms are available</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pStyle w:val="ListBullet"/>
        <w:numPr>
          <w:ilvl w:val="0"/>
          <w:numId w:val="37"/>
        </w:numPr>
        <w:spacing/>
        <w:rPr/>
      </w:pPr>
      <w:r>
        <w:rPr/>
        <w:t xml:space="preserve">Electronic voice augmentation</w:t>
      </w:r>
    </w:p>
    <w:p>
      <w:pPr>
        <w:pStyle w:val="ListBullet"/>
        <w:numPr>
          <w:ilvl w:val="0"/>
          <w:numId w:val="37"/>
        </w:numPr>
        <w:spacing/>
        <w:rPr/>
      </w:pPr>
      <w:r>
        <w:rPr/>
        <w:t xml:space="preserve">Hearing aid compatible</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Standard hired chair.</w:t>
      </w:r>
    </w:p>
    <w:p>
      <w:pPr>
        <w:pStyle w:val="ListBullet"/>
        <w:pBdr/>
        <w:spacing/>
        <w:rPr>
          <w:sz w:val="24"/>
        </w:rPr>
      </w:pPr>
      <w:r>
        <w:rPr>
          <w:sz w:val="24"/>
        </w:rPr>
        <w:t xml:space="preserve">Width (cm) Standard hired chair.</w:t>
      </w:r>
    </w:p>
    <w:p>
      <w:pPr>
        <w:pStyle w:val="ListBullet"/>
        <w:pBdr/>
        <w:spacing/>
        <w:rPr>
          <w:sz w:val="24"/>
        </w:rPr>
      </w:pPr>
      <w:r>
        <w:rPr>
          <w:sz w:val="24"/>
        </w:rPr>
        <w:t xml:space="preserve">Height (cm) Standard hired chair.</w:t>
      </w:r>
    </w:p>
    <w:p>
      <w:pPr>
        <w:pStyle w:val="ListBullet"/>
        <w:pBdr/>
        <w:spacing/>
        <w:rPr>
          <w:sz w:val="24"/>
        </w:rPr>
      </w:pPr>
      <w:r>
        <w:rPr>
          <w:sz w:val="24"/>
        </w:rPr>
        <w:t xml:space="preserve">Weight (kg) Standard hired chair.</w:t>
      </w:r>
    </w:p>
    <w:p>
      <w:pPr>
        <w:pStyle w:val="Subtitle"/>
        <w:spacing/>
        <w:rPr/>
      </w:pPr>
      <w:r>
        <w:rPr/>
        <w:t xml:space="preserve">Image(s)</w:t>
      </w:r>
    </w:p>
    <w:p>
      <w:pPr>
        <w:spacing/>
        <w:rPr/>
      </w:pPr>
      <w:r>
        <w:rPr/>
        <w:drawing>
          <wp:inline>
            <wp:extent cx="16129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1612900" cy="2540000"/>
                    </a:xfrm>
                    <a:prstGeom prst="rect">
                      <a:avLst/>
                    </a:prstGeom>
                  </pic:spPr>
                </pic:pic>
              </a:graphicData>
            </a:graphic>
          </wp:inline>
        </w:drawing>
      </w:r>
    </w:p>
    <w:p>
      <w:pPr>
        <w:spacing/>
        <w:rPr/>
      </w:pPr>
      <w:r>
        <w:rPr/>
        <w:t xml:space="preserve">AHH photo 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Contact Harvest Tours foe assistance or request via our website contact page </w:t>
      </w:r>
    </w:p>
    <w:p>
      <w:pPr>
        <w:pStyle w:val="Heading1"/>
        <w:spacing w:line="420" w:lineRule="exact"/>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pBdr/>
        <w:spacing/>
        <w:rPr>
          <w:sz w:val="24"/>
        </w:rPr>
      </w:pPr>
      <w:r>
        <w:rPr>
          <w:sz w:val="24"/>
        </w:rPr>
        <w:t xml:space="preserve">There are Dependant on the suppler - request made by Harvest Tours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One single bed</w:t>
      </w:r>
    </w:p>
    <w:p>
      <w:pPr>
        <w:pStyle w:val="ListBullet"/>
        <w:numPr>
          <w:ilvl w:val="0"/>
          <w:numId w:val="37"/>
        </w:numPr>
        <w:spacing/>
        <w:rPr/>
      </w:pPr>
      <w:r>
        <w:rPr/>
        <w:t xml:space="preserve">Two single beds</w:t>
      </w:r>
    </w:p>
    <w:p>
      <w:pPr>
        <w:pStyle w:val="ListBullet"/>
        <w:numPr>
          <w:ilvl w:val="0"/>
          <w:numId w:val="37"/>
        </w:numPr>
        <w:spacing/>
        <w:rPr/>
      </w:pPr>
      <w:r>
        <w:rPr/>
        <w:t xml:space="preserve">Two double/queen</w:t>
      </w:r>
    </w:p>
    <w:p>
      <w:pPr>
        <w:pStyle w:val="ListBullet"/>
        <w:numPr>
          <w:ilvl w:val="0"/>
          <w:numId w:val="37"/>
        </w:numPr>
        <w:spacing/>
        <w:rPr/>
      </w:pPr>
      <w:r>
        <w:rPr/>
        <w:t xml:space="preserve">One double/queen and one single</w:t>
      </w:r>
    </w:p>
    <w:p>
      <w:pPr>
        <w:pStyle w:val="Subtitle"/>
        <w:spacing/>
        <w:rPr/>
      </w:pPr>
      <w:r>
        <w:rPr/>
        <w:t xml:space="preserve">Layout of room 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MIT bed room</w:t>
      </w:r>
    </w:p>
    <w:p>
      <w:pPr>
        <w:spacing/>
        <w:rPr/>
      </w:pPr>
      <w:r>
        <w:rPr/>
        <w:t xml:space="preserve"> </w:t>
      </w:r>
    </w:p>
    <w:p>
      <w:pPr>
        <w:pStyle w:val="Heading2"/>
        <w:spacing/>
        <w:rPr/>
      </w:pPr>
      <w:bookmarkStart w:id="29" w:name="_Toc0000000025"/>
      <w:r>
        <w:rPr/>
        <w:t xml:space="preserve">Room Amenities</w:t>
      </w:r>
      <w:bookmarkEnd w:id="29"/>
    </w:p>
    <w:p>
      <w:pPr>
        <w:pBdr/>
        <w:spacing/>
        <w:rPr>
          <w:sz w:val="24"/>
        </w:rPr>
      </w:pPr>
      <w:r>
        <w:rPr>
          <w:sz w:val="24"/>
        </w:rPr>
        <w:t xml:space="preserve">Accommodation provider is advised of any room amenities requirments </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Vibrating alarm clocks</w:t>
      </w:r>
    </w:p>
    <w:p>
      <w:pPr>
        <w:pStyle w:val="ListBullet"/>
        <w:numPr>
          <w:ilvl w:val="0"/>
          <w:numId w:val="37"/>
        </w:numPr>
        <w:spacing/>
        <w:rPr/>
      </w:pPr>
      <w:r>
        <w:rPr/>
        <w:t xml:space="preserve">Room phones have volume control</w:t>
      </w:r>
    </w:p>
    <w:p>
      <w:pPr>
        <w:pStyle w:val="ListBullet"/>
        <w:numPr>
          <w:ilvl w:val="0"/>
          <w:numId w:val="37"/>
        </w:numPr>
        <w:spacing/>
        <w:rPr/>
      </w:pPr>
      <w:r>
        <w:rPr/>
        <w:t xml:space="preserve">Room phones have a visual ringing indicator</w:t>
      </w:r>
    </w:p>
    <w:p>
      <w:pPr>
        <w:pStyle w:val="ListBullet"/>
        <w:numPr>
          <w:ilvl w:val="0"/>
          <w:numId w:val="37"/>
        </w:numPr>
        <w:spacing/>
        <w:rPr/>
      </w:pPr>
      <w:r>
        <w:rPr/>
        <w:t xml:space="preserve">Room phones are capable of sending and receiving an SMS</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Accommodation provider is advised of any  room amenities requirments   </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A range of non-allergenic toiletries are available</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MITbathroom-</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pStyle w:val="Heading1"/>
        <w:spacing w:line="420" w:lineRule="exact"/>
        <w:rPr/>
      </w:pPr>
      <w:bookmarkStart w:id="31" w:name="_Toc0000000027"/>
      <w:r>
        <w:rPr/>
        <w:t xml:space="preserve">ATTRACTIONS</w:t>
      </w:r>
      <w:bookmarkEnd w:id="31"/>
    </w:p>
    <w:p>
      <w:pPr>
        <w:spacing/>
        <w:rPr/>
      </w:pPr>
      <w:r>
        <w:rPr/>
        <w:t xml:space="preserve"> </w:t>
      </w:r>
    </w:p>
    <w:p>
      <w:pPr>
        <w:pStyle w:val="Heading2"/>
        <w:spacing/>
        <w:rPr/>
      </w:pPr>
      <w:bookmarkStart w:id="32" w:name="_Toc0000000028"/>
      <w:r>
        <w:rPr/>
        <w:t xml:space="preserve">Zoos and Wildlife Parks</w:t>
      </w:r>
      <w:bookmarkEnd w:id="32"/>
    </w:p>
    <w:p>
      <w:pPr>
        <w:pStyle w:val="ListBullet"/>
        <w:numPr>
          <w:ilvl w:val="0"/>
          <w:numId w:val="37"/>
        </w:numPr>
        <w:spacing/>
        <w:rPr/>
      </w:pPr>
      <w:r>
        <w:rPr/>
        <w:t xml:space="preserve">Guide and service dogs are welcome</w:t>
      </w:r>
    </w:p>
    <w:p>
      <w:pPr>
        <w:pBdr/>
        <w:spacing/>
        <w:rPr>
          <w:sz w:val="24"/>
        </w:rPr>
      </w:pPr>
      <w:r>
        <w:rPr>
          <w:sz w:val="24"/>
        </w:rPr>
        <w:t xml:space="preserve">Guide and service animals should observe the following rules: Permission is sort from the Packs DCBA to enter national parks </w:t>
      </w:r>
    </w:p>
    <w:p>
      <w:pPr>
        <w:pStyle w:val="ListBullet"/>
        <w:numPr>
          <w:ilvl w:val="0"/>
          <w:numId w:val="37"/>
        </w:numPr>
        <w:spacing/>
        <w:rPr/>
      </w:pPr>
      <w:r>
        <w:rPr/>
        <w:t xml:space="preserve">A secure area with shade and water for service dogs is available</w:t>
      </w:r>
    </w:p>
    <w:p>
      <w:pPr>
        <w:pStyle w:val="ListBullet"/>
        <w:numPr>
          <w:ilvl w:val="0"/>
          <w:numId w:val="37"/>
        </w:numPr>
        <w:spacing/>
        <w:rPr/>
      </w:pPr>
      <w:r>
        <w:rPr/>
        <w:t xml:space="preserve">A guide for patrons who are blind or vision impaired are available</w:t>
      </w:r>
    </w:p>
    <w:p>
      <w:pPr>
        <w:pStyle w:val="ListBullet"/>
        <w:numPr>
          <w:ilvl w:val="0"/>
          <w:numId w:val="37"/>
        </w:numPr>
        <w:spacing/>
        <w:rPr/>
      </w:pPr>
      <w:r>
        <w:rPr/>
        <w:t xml:space="preserve">Displays have glass or mesh viewing panels for children or people seated in wheelchairs</w:t>
      </w:r>
    </w:p>
    <w:p>
      <w:pPr>
        <w:pStyle w:val="ListBullet"/>
        <w:numPr>
          <w:ilvl w:val="0"/>
          <w:numId w:val="37"/>
        </w:numPr>
        <w:spacing/>
        <w:rPr/>
      </w:pPr>
      <w:r>
        <w:rPr/>
        <w:t xml:space="preserve">Signage is positioned between 800mm and 1200mm above the ground</w:t>
      </w:r>
    </w:p>
    <w:p>
      <w:pPr>
        <w:pStyle w:val="ListBullet"/>
        <w:numPr>
          <w:ilvl w:val="0"/>
          <w:numId w:val="37"/>
        </w:numPr>
        <w:spacing/>
        <w:rPr/>
      </w:pPr>
      <w:r>
        <w:rPr/>
        <w:t xml:space="preserve">Signage is in a font larger than 18 point</w:t>
      </w:r>
    </w:p>
    <w:p>
      <w:pPr>
        <w:pStyle w:val="ListBullet"/>
        <w:numPr>
          <w:ilvl w:val="0"/>
          <w:numId w:val="37"/>
        </w:numPr>
        <w:spacing/>
        <w:rPr/>
      </w:pPr>
      <w:r>
        <w:rPr/>
        <w:t xml:space="preserve">Signage and information provide pictorial information</w:t>
      </w:r>
    </w:p>
    <w:p>
      <w:pPr>
        <w:pBdr/>
        <w:spacing/>
        <w:rPr>
          <w:sz w:val="24"/>
        </w:rPr>
      </w:pPr>
      <w:r>
        <w:rPr>
          <w:sz w:val="24"/>
        </w:rPr>
        <w:t xml:space="preserve">The following alternative information sources are available: Audio </w:t>
      </w:r>
    </w:p>
    <w:p>
      <w:pPr>
        <w:pStyle w:val="ListBullet"/>
        <w:numPr>
          <w:ilvl w:val="0"/>
          <w:numId w:val="37"/>
        </w:numPr>
        <w:spacing/>
        <w:rPr/>
      </w:pPr>
      <w:r>
        <w:rPr/>
        <w:t xml:space="preserve">Seating is provided at regular intervals</w:t>
      </w:r>
    </w:p>
    <w:p>
      <w:pPr>
        <w:pStyle w:val="ListBullet"/>
        <w:numPr>
          <w:ilvl w:val="0"/>
          <w:numId w:val="37"/>
        </w:numPr>
        <w:spacing/>
        <w:rPr/>
      </w:pPr>
      <w:r>
        <w:rPr/>
        <w:t xml:space="preserve">Aviaries and other enclosures provide level access</w:t>
      </w:r>
    </w:p>
    <w:p>
      <w:pPr>
        <w:pStyle w:val="ListBullet"/>
        <w:numPr>
          <w:ilvl w:val="0"/>
          <w:numId w:val="37"/>
        </w:numPr>
        <w:spacing/>
        <w:rPr/>
      </w:pPr>
      <w:r>
        <w:rPr/>
        <w:t xml:space="preserve">Airlocks provide sufficient room for a wheelchair</w:t>
      </w:r>
    </w:p>
    <w:p>
      <w:pPr>
        <w:pStyle w:val="ListBullet"/>
        <w:numPr>
          <w:ilvl w:val="0"/>
          <w:numId w:val="37"/>
        </w:numPr>
        <w:spacing/>
        <w:rPr/>
      </w:pPr>
      <w:r>
        <w:rPr/>
        <w:t xml:space="preserve">Tour vehicles are available</w:t>
      </w:r>
    </w:p>
    <w:p>
      <w:pPr>
        <w:pStyle w:val="ListBullet"/>
        <w:numPr>
          <w:ilvl w:val="0"/>
          <w:numId w:val="37"/>
        </w:numPr>
        <w:spacing/>
        <w:rPr/>
      </w:pPr>
      <w:r>
        <w:rPr/>
        <w:t xml:space="preserve">Tour vehicles have a wheelchair lift or ramp</w:t>
      </w:r>
    </w:p>
    <w:p>
      <w:pPr>
        <w:pStyle w:val="ListBullet"/>
        <w:numPr>
          <w:ilvl w:val="0"/>
          <w:numId w:val="37"/>
        </w:numPr>
        <w:spacing/>
        <w:rPr/>
      </w:pPr>
      <w:r>
        <w:rPr/>
        <w:t xml:space="preserve">In addition, the following further information can assist guests:</w:t>
      </w:r>
    </w:p>
    <w:p>
      <w:pPr>
        <w:spacing/>
        <w:rPr/>
      </w:pPr>
      <w:r>
        <w:rPr/>
        <w:t xml:space="preserve">Flat covered in shoes recommended  </w:t>
      </w:r>
    </w:p>
    <w:p>
      <w:pPr>
        <w:pStyle w:val="Heading1"/>
        <w:spacing w:line="420" w:lineRule="exact"/>
        <w:rPr/>
      </w:pPr>
      <w:bookmarkStart w:id="33" w:name="_Toc0000000029"/>
      <w:r>
        <w:rPr/>
        <w:t xml:space="preserve">COMMON AREAS</w:t>
      </w:r>
      <w:bookmarkEnd w:id="33"/>
    </w:p>
    <w:p>
      <w:pPr>
        <w:spacing/>
        <w:rPr/>
      </w:pPr>
      <w:r>
        <w:rPr/>
        <w:t xml:space="preserve"> </w:t>
      </w:r>
    </w:p>
    <w:p>
      <w:pPr>
        <w:pStyle w:val="Heading2"/>
        <w:spacing/>
        <w:rPr/>
      </w:pPr>
      <w:bookmarkStart w:id="34" w:name="_Toc0000000030"/>
      <w:r>
        <w:rPr/>
        <w:t xml:space="preserve">Play Spaces</w:t>
      </w:r>
      <w:bookmarkEnd w:id="34"/>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In addition, the following further information can assist guests:</w:t>
      </w:r>
    </w:p>
    <w:p>
      <w:pPr>
        <w:spacing/>
        <w:rPr/>
      </w:pPr>
      <w:r>
        <w:rPr/>
        <w:t xml:space="preserve">All requirements are to be given to Harvest tours at the time of booking  </w:t>
      </w:r>
    </w:p>
    <w:p>
      <w:pPr>
        <w:spacing/>
        <w:rPr/>
      </w:pPr>
      <w:r>
        <w:rPr/>
        <w:t xml:space="preserve"> </w:t>
      </w:r>
    </w:p>
    <w:p>
      <w:pPr>
        <w:pStyle w:val="Heading2"/>
        <w:spacing/>
        <w:rPr/>
      </w:pPr>
      <w:bookmarkStart w:id="35" w:name="_Toc0000000031"/>
      <w:r>
        <w:rPr/>
        <w:t xml:space="preserve">Parks and gardens</w:t>
      </w:r>
      <w:bookmarkEnd w:id="35"/>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Heading1"/>
        <w:spacing w:line="420" w:lineRule="exact"/>
        <w:rPr/>
      </w:pPr>
      <w:bookmarkStart w:id="36" w:name="_Toc0000000032"/>
      <w:r>
        <w:rPr/>
        <w:t xml:space="preserve">FOOD AND DRINK</w:t>
      </w:r>
      <w:bookmarkEnd w:id="36"/>
    </w:p>
    <w:p>
      <w:pPr>
        <w:spacing/>
        <w:rPr/>
      </w:pPr>
      <w:r>
        <w:rPr/>
        <w:t xml:space="preserve"> </w:t>
      </w:r>
    </w:p>
    <w:p>
      <w:pPr>
        <w:pStyle w:val="Heading2"/>
        <w:spacing/>
        <w:rPr/>
      </w:pPr>
      <w:bookmarkStart w:id="37" w:name="_Toc0000000033"/>
      <w:r>
        <w:rPr/>
        <w:t xml:space="preserve">Dining Spaces</w:t>
      </w:r>
      <w:bookmarkEnd w:id="37"/>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All glass doors and full height windows have contrast markings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large print menus</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pPr>
      <w:r>
        <w:rPr/>
        <w:t xml:space="preserve">Please advise any requirements at the time of booking  </w:t>
      </w:r>
    </w:p>
    <w:p>
      <w:pPr>
        <w:pStyle w:val="Heading1"/>
        <w:spacing w:line="420" w:lineRule="exact"/>
        <w:rPr/>
      </w:pPr>
      <w:bookmarkStart w:id="38" w:name="_Toc0000000034"/>
      <w:r>
        <w:rPr/>
        <w:t xml:space="preserve">ADVENTURE ACTIVITIES</w:t>
      </w:r>
      <w:bookmarkEnd w:id="38"/>
    </w:p>
    <w:p>
      <w:pPr>
        <w:spacing/>
        <w:rPr/>
      </w:pPr>
      <w:r>
        <w:rPr/>
        <w:t xml:space="preserve"> </w:t>
      </w:r>
    </w:p>
    <w:p>
      <w:pPr>
        <w:pStyle w:val="Heading2"/>
        <w:spacing/>
        <w:rPr/>
      </w:pPr>
      <w:bookmarkStart w:id="39" w:name="_Toc0000000035"/>
      <w:r>
        <w:rPr/>
        <w:t xml:space="preserve">Adventure activities</w:t>
      </w:r>
      <w:bookmarkEnd w:id="39"/>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Train rides, water adventures, coastal attractions, accessible paths </w:t>
      </w:r>
    </w:p>
    <w:p>
      <w:pPr>
        <w:pBdr/>
        <w:spacing/>
        <w:rPr>
          <w:sz w:val="24"/>
        </w:rPr>
      </w:pPr>
      <w:r>
        <w:rPr>
          <w:sz w:val="24"/>
        </w:rPr>
        <w:t xml:space="preserve">The equipment utilised to make the activities available are: Assistance given by Harvest driver/guide </w:t>
      </w:r>
    </w:p>
    <w:p>
      <w:pPr>
        <w:pBdr/>
        <w:spacing/>
        <w:rPr>
          <w:sz w:val="24"/>
        </w:rPr>
      </w:pPr>
      <w:r>
        <w:rPr>
          <w:sz w:val="24"/>
        </w:rPr>
        <w:t xml:space="preserve">The following limitations apply to participation, including those activities that are not available to people with a disability: Rocky out crops and climbing </w:t>
      </w:r>
    </w:p>
    <w:p>
      <w:pPr>
        <w:pStyle w:val="Subtitle"/>
        <w:spacing/>
        <w:rPr/>
      </w:pPr>
      <w:r>
        <w:rPr/>
        <w:t xml:space="preserve">Adventure Activity Image(s)</w:t>
      </w:r>
    </w:p>
    <w:p>
      <w:pPr>
        <w:spacing/>
        <w:rPr/>
      </w:pPr>
      <w:r>
        <w:rPr/>
        <w:drawing>
          <wp:inline>
            <wp:extent cx="14351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14351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Bus 3</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40" w:name="_Toc0000000036"/>
      <w:r>
        <w:rPr/>
        <w:t xml:space="preserve">Report Disclaimer</w:t>
      </w:r>
      <w:bookmarkEnd w:id="4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38" Type="http://schemas.openxmlformats.org/officeDocument/2006/relationships/image" Target="media/image3.jpeg" /><Relationship Id="rId39" Type="http://schemas.openxmlformats.org/officeDocument/2006/relationships/image" Target="media/image4.jpeg" /><Relationship Id="rId40" Type="http://schemas.openxmlformats.org/officeDocument/2006/relationships/image" Target="media/image5.jpeg" /><Relationship Id="rId41" Type="http://schemas.openxmlformats.org/officeDocument/2006/relationships/image" Target="media/image6.jpeg"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