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Esplanade Hotel Fremantle by Rydges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46-54, Marine Terrace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Fremantle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Jaaidev Vidyadharan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9432 4000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reservations_esplanadefremantle@evt.com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https://www.rydges.com/accommodation/perth-wa/esplanade-hotel-fremantle-by-rydges/</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2026-10-07 05:51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Lifts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Internal Spaces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areas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Displays, exhibits, commentary and live performances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External Paths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Steps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Ramps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Public Toilets/Adult change facilities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TOUR OPERATORS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Bedrooms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Room Amenities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Bathrooms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1"/>
            <w:tabs>
              <w:tab w:val="right" w:leader="dot" w:pos="9016"/>
            </w:tabs>
            <w:spacing/>
            <w:rPr/>
          </w:pPr>
          <w:hyperlink w:anchor="_Toc0000000026" w:history="1">
            <w:r>
              <w:rPr>
                <w:rStyle w:val="Hyperlink"/>
              </w:rPr>
              <w:t xml:space="preserve">ATTRACTIONS</w:t>
            </w:r>
            <w:r>
              <w:rPr/>
              <w:tab/>
              <w:t xml:space="preserve"/>
            </w:r>
            <w:r>
              <w:rPr/>
              <w:fldChar w:fldCharType="begin"/>
            </w:r>
            <w:r>
              <w:rPr/>
              <w:instrText>PAGEREF _Toc0000000026 \h</w:instrText>
            </w:r>
            <w:r>
              <w:rPr/>
              <w:fldChar w:fldCharType="separate"/>
            </w:r>
            <w:r>
              <w:rPr/>
              <w:t xml:space="preserve">16</w:t>
            </w:r>
            <w:r>
              <w:rPr/>
              <w:fldChar w:fldCharType="end"/>
            </w:r>
          </w:hyperlink>
        </w:p>
        <w:p>
          <w:pPr>
            <w:pStyle w:val="TOC1"/>
            <w:tabs>
              <w:tab w:val="right" w:leader="dot" w:pos="9016"/>
            </w:tabs>
            <w:spacing/>
            <w:rPr/>
          </w:pPr>
          <w:hyperlink w:anchor="_Toc0000000027" w:history="1">
            <w:r>
              <w:rPr>
                <w:rStyle w:val="Hyperlink"/>
              </w:rPr>
              <w:t xml:space="preserve">COMMON AREAS</w:t>
            </w:r>
            <w:r>
              <w:rPr/>
              <w:tab/>
              <w:t xml:space="preserve"/>
            </w:r>
            <w:r>
              <w:rPr/>
              <w:fldChar w:fldCharType="begin"/>
            </w:r>
            <w:r>
              <w:rPr/>
              <w:instrText>PAGEREF _Toc0000000027 \h</w:instrText>
            </w:r>
            <w:r>
              <w:rPr/>
              <w:fldChar w:fldCharType="separate"/>
            </w:r>
            <w:r>
              <w:rPr/>
              <w:t xml:space="preserve">19</w:t>
            </w:r>
            <w:r>
              <w:rPr/>
              <w:fldChar w:fldCharType="end"/>
            </w:r>
          </w:hyperlink>
        </w:p>
        <w:p>
          <w:pPr>
            <w:pStyle w:val="TOC2"/>
            <w:tabs>
              <w:tab w:val="right" w:leader="dot" w:pos="9016"/>
            </w:tabs>
            <w:spacing/>
            <w:rPr/>
          </w:pPr>
          <w:hyperlink w:anchor="_Toc0000000028" w:history="1">
            <w:r>
              <w:rPr>
                <w:rStyle w:val="Hyperlink"/>
              </w:rPr>
              <w:t xml:space="preserve">Swimming pools, spas and waterparks</w:t>
            </w:r>
            <w:r>
              <w:rPr/>
              <w:tab/>
              <w:t xml:space="preserve"/>
            </w:r>
            <w:r>
              <w:rPr/>
              <w:fldChar w:fldCharType="begin"/>
            </w:r>
            <w:r>
              <w:rPr/>
              <w:instrText>PAGEREF _Toc0000000028 \h</w:instrText>
            </w:r>
            <w:r>
              <w:rPr/>
              <w:fldChar w:fldCharType="separate"/>
            </w:r>
            <w:r>
              <w:rPr/>
              <w:t xml:space="preserve">19</w:t>
            </w:r>
            <w:r>
              <w:rPr/>
              <w:fldChar w:fldCharType="end"/>
            </w:r>
          </w:hyperlink>
        </w:p>
        <w:p>
          <w:pPr>
            <w:pStyle w:val="TOC1"/>
            <w:tabs>
              <w:tab w:val="right" w:leader="dot" w:pos="9016"/>
            </w:tabs>
            <w:spacing/>
            <w:rPr/>
          </w:pPr>
          <w:hyperlink w:anchor="_Toc0000000029" w:history="1">
            <w:r>
              <w:rPr>
                <w:rStyle w:val="Hyperlink"/>
              </w:rPr>
              <w:t xml:space="preserve">FOOD AND DRINK</w:t>
            </w:r>
            <w:r>
              <w:rPr/>
              <w:tab/>
              <w:t xml:space="preserve"/>
            </w:r>
            <w:r>
              <w:rPr/>
              <w:fldChar w:fldCharType="begin"/>
            </w:r>
            <w:r>
              <w:rPr/>
              <w:instrText>PAGEREF _Toc0000000029 \h</w:instrText>
            </w:r>
            <w:r>
              <w:rPr/>
              <w:fldChar w:fldCharType="separate"/>
            </w:r>
            <w:r>
              <w:rPr/>
              <w:t xml:space="preserve">22</w:t>
            </w:r>
            <w:r>
              <w:rPr/>
              <w:fldChar w:fldCharType="end"/>
            </w:r>
          </w:hyperlink>
        </w:p>
        <w:p>
          <w:pPr>
            <w:pStyle w:val="TOC2"/>
            <w:tabs>
              <w:tab w:val="right" w:leader="dot" w:pos="9016"/>
            </w:tabs>
            <w:spacing/>
            <w:rPr/>
          </w:pPr>
          <w:hyperlink w:anchor="_Toc0000000030" w:history="1">
            <w:r>
              <w:rPr>
                <w:rStyle w:val="Hyperlink"/>
              </w:rPr>
              <w:t xml:space="preserve">Dining Spaces</w:t>
            </w:r>
            <w:r>
              <w:rPr/>
              <w:tab/>
              <w:t xml:space="preserve"/>
            </w:r>
            <w:r>
              <w:rPr/>
              <w:fldChar w:fldCharType="begin"/>
            </w:r>
            <w:r>
              <w:rPr/>
              <w:instrText>PAGEREF _Toc0000000030 \h</w:instrText>
            </w:r>
            <w:r>
              <w:rPr/>
              <w:fldChar w:fldCharType="separate"/>
            </w:r>
            <w:r>
              <w:rPr/>
              <w:t xml:space="preserve">22</w:t>
            </w:r>
            <w:r>
              <w:rPr/>
              <w:fldChar w:fldCharType="end"/>
            </w:r>
          </w:hyperlink>
        </w:p>
        <w:p>
          <w:pPr>
            <w:pStyle w:val="TOC1"/>
            <w:tabs>
              <w:tab w:val="right" w:leader="dot" w:pos="9016"/>
            </w:tabs>
            <w:spacing/>
            <w:rPr/>
          </w:pPr>
          <w:hyperlink w:anchor="_Toc0000000031" w:history="1">
            <w:r>
              <w:rPr>
                <w:rStyle w:val="Hyperlink"/>
              </w:rPr>
              <w:t xml:space="preserve">EVENTS</w:t>
            </w:r>
            <w:r>
              <w:rPr/>
              <w:tab/>
              <w:t xml:space="preserve"/>
            </w:r>
            <w:r>
              <w:rPr/>
              <w:fldChar w:fldCharType="begin"/>
            </w:r>
            <w:r>
              <w:rPr/>
              <w:instrText>PAGEREF _Toc0000000031 \h</w:instrText>
            </w:r>
            <w:r>
              <w:rPr/>
              <w:fldChar w:fldCharType="separate"/>
            </w:r>
            <w:r>
              <w:rPr/>
              <w:t xml:space="preserve">24</w:t>
            </w:r>
            <w:r>
              <w:rPr/>
              <w:fldChar w:fldCharType="end"/>
            </w:r>
          </w:hyperlink>
        </w:p>
        <w:p>
          <w:pPr>
            <w:pStyle w:val="TOC2"/>
            <w:tabs>
              <w:tab w:val="right" w:leader="dot" w:pos="9016"/>
            </w:tabs>
            <w:spacing/>
            <w:rPr/>
          </w:pPr>
          <w:hyperlink w:anchor="_Toc0000000032" w:history="1">
            <w:r>
              <w:rPr>
                <w:rStyle w:val="Hyperlink"/>
              </w:rPr>
              <w:t xml:space="preserve">Events</w:t>
            </w:r>
            <w:r>
              <w:rPr/>
              <w:tab/>
              <w:t xml:space="preserve"/>
            </w:r>
            <w:r>
              <w:rPr/>
              <w:fldChar w:fldCharType="begin"/>
            </w:r>
            <w:r>
              <w:rPr/>
              <w:instrText>PAGEREF _Toc0000000032 \h</w:instrText>
            </w:r>
            <w:r>
              <w:rPr/>
              <w:fldChar w:fldCharType="separate"/>
            </w:r>
            <w:r>
              <w:rPr/>
              <w:t xml:space="preserve">24</w:t>
            </w:r>
            <w:r>
              <w:rPr/>
              <w:fldChar w:fldCharType="end"/>
            </w:r>
          </w:hyperlink>
        </w:p>
        <w:p>
          <w:pPr>
            <w:pStyle w:val="TOC2"/>
            <w:tabs>
              <w:tab w:val="right" w:leader="dot" w:pos="9016"/>
            </w:tabs>
            <w:spacing/>
            <w:rPr/>
          </w:pPr>
          <w:hyperlink w:anchor="_Toc0000000033" w:history="1">
            <w:r>
              <w:rPr>
                <w:rStyle w:val="Hyperlink"/>
              </w:rPr>
              <w:t xml:space="preserve">Report Disclaimer</w:t>
            </w:r>
            <w:r>
              <w:rPr/>
              <w:tab/>
              <w:t xml:space="preserve"/>
            </w:r>
            <w:r>
              <w:rPr/>
              <w:fldChar w:fldCharType="begin"/>
            </w:r>
            <w:r>
              <w:rPr/>
              <w:instrText>PAGEREF _Toc0000000033 \h</w:instrText>
            </w:r>
            <w:r>
              <w:rPr/>
              <w:fldChar w:fldCharType="separate"/>
            </w:r>
            <w:r>
              <w:rPr/>
              <w:t xml:space="preserve">26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Staff walkthroughs daily to ensure no exit is blocked.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PMS system </w:t>
      </w:r>
    </w:p>
    <w:p>
      <w:pPr>
        <w:pBdr/>
        <w:spacing/>
        <w:rPr>
          <w:sz w:val="24"/>
        </w:rPr>
      </w:pPr>
      <w:r>
        <w:rPr>
          <w:sz w:val="24"/>
        </w:rPr>
        <w:t xml:space="preserve">The procedure for assisting guests who need assisted rescue is: Sending a fire warden to check on guest</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Personalized check in is offered for guests with a disability - guest is invited to sit down whilst a Duty Manager assists with the check in process. Concierge will assist with the luggage and assisting the guest to their rooms.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public transport services available are:</w:t>
      </w:r>
    </w:p>
    <w:p>
      <w:pPr>
        <w:pBdr/>
        <w:spacing/>
        <w:rPr>
          <w:sz w:val="24"/>
        </w:rPr>
      </w:pPr>
      <w:r>
        <w:rPr>
          <w:sz w:val="24"/>
        </w:rPr>
        <w:t xml:space="preserve">Map is available</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Carpark is available for hotel guests with the carpark located just across the street from the hotel.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7"/>
        </w:numPr>
        <w:spacing/>
        <w:rPr/>
      </w:pPr>
      <w:r>
        <w:rPr/>
        <w:t xml:space="preserve">Premises has lifts</w:t>
      </w:r>
    </w:p>
    <w:p>
      <w:pPr>
        <w:pStyle w:val="Subtitle"/>
        <w:spacing/>
        <w:rPr/>
      </w:pPr>
      <w:r>
        <w:rPr/>
        <w:t xml:space="preserve">Lift Location: Main Lobby</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Southern Cross Wing Lift</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5" w:name="_Toc0000000021"/>
      <w:r>
        <w:rPr/>
        <w:t xml:space="preserve">TOUR OPERATORS</w:t>
      </w:r>
      <w:bookmarkEnd w:id="25"/>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Esplanade Exterior</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pBdr/>
        <w:spacing/>
        <w:rPr>
          <w:sz w:val="24"/>
        </w:rPr>
      </w:pPr>
      <w:r>
        <w:rPr>
          <w:sz w:val="24"/>
        </w:rPr>
        <w:t xml:space="preserve">There are 11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Space Between Walls and Bed 1</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Space Between Walls and Bed 2</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1</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3</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4</w:t>
      </w:r>
    </w:p>
    <w:p>
      <w:pPr>
        <w:pStyle w:val="Heading1"/>
        <w:spacing w:line="420" w:lineRule="exact"/>
        <w:rPr/>
      </w:pPr>
      <w:bookmarkStart w:id="30" w:name="_Toc0000000026"/>
      <w:r>
        <w:rPr/>
        <w:t xml:space="preserve">ATTRACTIONS</w:t>
      </w:r>
      <w:bookmarkEnd w:id="30"/>
    </w:p>
    <w:p>
      <w:pPr>
        <w:pStyle w:val="Subtitle"/>
        <w:spacing/>
        <w:rPr/>
      </w:pPr>
      <w:r>
        <w:rPr/>
        <w:t xml:space="preserve">Image(s)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Public Toilet 2</w:t>
      </w:r>
    </w:p>
    <w:p>
      <w:pPr>
        <w:spacing/>
        <w:rPr/>
      </w:pPr>
      <w:r>
        <w:rPr/>
        <w:drawing>
          <wp:inline>
            <wp:extent cx="2540000" cy="21717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2171700"/>
                    </a:xfrm>
                    <a:prstGeom prst="rect">
                      <a:avLst/>
                    </a:prstGeom>
                  </pic:spPr>
                </pic:pic>
              </a:graphicData>
            </a:graphic>
          </wp:inline>
        </w:drawing>
      </w:r>
    </w:p>
    <w:p>
      <w:pPr>
        <w:spacing/>
        <w:rPr/>
      </w:pPr>
      <w:r>
        <w:rPr/>
        <w:t xml:space="preserve">Accessible Public Toilet 3</w:t>
      </w:r>
    </w:p>
    <w:p>
      <w:pPr>
        <w:spacing/>
        <w:rPr/>
      </w:pPr>
      <w:r>
        <w:rPr/>
        <w:drawing>
          <wp:inline>
            <wp:extent cx="18923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892300" cy="2540000"/>
                    </a:xfrm>
                    <a:prstGeom prst="rect">
                      <a:avLst/>
                    </a:prstGeom>
                  </pic:spPr>
                </pic:pic>
              </a:graphicData>
            </a:graphic>
          </wp:inline>
        </w:drawing>
      </w:r>
    </w:p>
    <w:p>
      <w:pPr>
        <w:spacing/>
        <w:rPr/>
      </w:pPr>
      <w:r>
        <w:rPr/>
        <w:t xml:space="preserve">Accessible Public Toilet</w:t>
      </w:r>
    </w:p>
    <w:p>
      <w:pPr>
        <w:spacing/>
        <w:rPr/>
      </w:pPr>
      <w:r>
        <w:rPr/>
        <w:drawing>
          <wp:inline>
            <wp:extent cx="2540000" cy="18923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892300"/>
                    </a:xfrm>
                    <a:prstGeom prst="rect">
                      <a:avLst/>
                    </a:prstGeom>
                  </pic:spPr>
                </pic:pic>
              </a:graphicData>
            </a:graphic>
          </wp:inline>
        </w:drawing>
      </w:r>
    </w:p>
    <w:p>
      <w:pPr>
        <w:spacing/>
        <w:rPr/>
      </w:pPr>
      <w:r>
        <w:rPr/>
        <w:t xml:space="preserve">Main Entrance Exterior 1</w:t>
      </w:r>
    </w:p>
    <w:p>
      <w:pPr>
        <w:spacing/>
        <w:rPr/>
      </w:pPr>
      <w:r>
        <w:rPr/>
        <w:drawing>
          <wp:inline>
            <wp:extent cx="2540000" cy="18669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Main Entrance Exterior 2</w:t>
      </w:r>
    </w:p>
    <w:p>
      <w:pPr>
        <w:spacing/>
        <w:rPr/>
      </w:pPr>
      <w:r>
        <w:rPr/>
        <w:drawing>
          <wp:inline>
            <wp:extent cx="1943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43100" cy="2540000"/>
                    </a:xfrm>
                    <a:prstGeom prst="rect">
                      <a:avLst/>
                    </a:prstGeom>
                  </pic:spPr>
                </pic:pic>
              </a:graphicData>
            </a:graphic>
          </wp:inline>
        </w:drawing>
      </w:r>
    </w:p>
    <w:p>
      <w:pPr>
        <w:spacing/>
        <w:rPr/>
      </w:pPr>
      <w:r>
        <w:rPr/>
        <w:t xml:space="preserve">Main Entrance Interior</w:t>
      </w:r>
    </w:p>
    <w:p>
      <w:pPr>
        <w:pStyle w:val="Heading1"/>
        <w:spacing w:line="420" w:lineRule="exact"/>
        <w:rPr/>
      </w:pPr>
      <w:bookmarkStart w:id="31" w:name="_Toc0000000027"/>
      <w:r>
        <w:rPr/>
        <w:t xml:space="preserve">COMMON AREAS</w:t>
      </w:r>
      <w:bookmarkEnd w:id="31"/>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Beach or pool wheelchairs</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1</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2</w:t>
      </w:r>
    </w:p>
    <w:p>
      <w:pPr>
        <w:spacing/>
        <w:rPr/>
      </w:pPr>
      <w:r>
        <w:rPr/>
        <w:drawing>
          <wp:inline>
            <wp:extent cx="1905000" cy="2540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3</w:t>
      </w:r>
    </w:p>
    <w:p>
      <w:pPr>
        <w:spacing/>
        <w:rPr/>
      </w:pPr>
      <w:r>
        <w:rPr/>
        <w:drawing>
          <wp:inline>
            <wp:extent cx="1905000" cy="2540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4</w:t>
      </w:r>
    </w:p>
    <w:p>
      <w:pPr>
        <w:spacing/>
        <w:rPr/>
      </w:pPr>
      <w:r>
        <w:rPr/>
        <w:drawing>
          <wp:inline>
            <wp:extent cx="1905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2"/>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5</w:t>
      </w:r>
    </w:p>
    <w:p>
      <w:pPr>
        <w:pStyle w:val="Heading1"/>
        <w:spacing w:line="420" w:lineRule="exact"/>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3" w:history="1">
        <w:r>
          <w:rPr>
            <w:rStyle w:val="Hyperlink"/>
            <w:sz w:val="24"/>
          </w:rPr>
          <w:t xml:space="preserve">https://cdn.rydges.com/wp-content/uploads/sites/25/2015/10/23155225/MLB-Menu-A-la-Carte-Online-.pdf?_gl=1*1abqnsn*_gcl_aw*R0NMLjE2ODg4OTkzMzcuQ2owS0NRand0YW1sQmhEM0FSSXNBQVJvYUV6ZTVQTFVjMlNPV0ZIQ2FIRFludVBOUE95QlVXQkxCeGdwd2FpN29KcVh0SHJaZWktX1RFNGFBb0xGRUFMd193Y0I.*_gcl_au*MTkxMDEzNDI2MC4xNjg2NTMzMzg2</w:t>
        </w:r>
      </w:hyperlink>
    </w:p>
    <w:p>
      <w:pPr>
        <w:pStyle w:val="Subtitle"/>
        <w:spacing/>
        <w:rPr/>
      </w:pPr>
      <w:r>
        <w:rPr/>
        <w:t xml:space="preserve">Food and Beverage Image(s)</w:t>
      </w:r>
    </w:p>
    <w:p>
      <w:pPr>
        <w:spacing/>
        <w:rPr/>
      </w:pPr>
      <w:r>
        <w:rPr/>
        <w:drawing>
          <wp:inline>
            <wp:extent cx="19304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4"/>
                    <a:srcRect/>
                    <a:stretch>
                      <a:fillRect/>
                    </a:stretch>
                  </pic:blipFill>
                  <pic:spPr bwMode="auto">
                    <a:xfrm>
                      <a:off x="0" y="0"/>
                      <a:ext cx="1930400" cy="2540000"/>
                    </a:xfrm>
                    <a:prstGeom prst="rect">
                      <a:avLst/>
                    </a:prstGeom>
                  </pic:spPr>
                </pic:pic>
              </a:graphicData>
            </a:graphic>
          </wp:inline>
        </w:drawing>
      </w:r>
    </w:p>
    <w:p>
      <w:pPr>
        <w:spacing/>
        <w:rPr/>
      </w:pPr>
      <w:r>
        <w:rPr/>
        <w:t xml:space="preserve">DiningSpaces1</w:t>
      </w:r>
    </w:p>
    <w:p>
      <w:pPr>
        <w:spacing/>
        <w:rPr/>
      </w:pPr>
      <w:r>
        <w:rPr/>
        <w:drawing>
          <wp:inline>
            <wp:extent cx="2540000" cy="1892300"/>
            <wp:docPr id="20"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5"/>
                    <a:srcRect/>
                    <a:stretch>
                      <a:fillRect/>
                    </a:stretch>
                  </pic:blipFill>
                  <pic:spPr bwMode="auto">
                    <a:xfrm>
                      <a:off x="0" y="0"/>
                      <a:ext cx="2540000" cy="1892300"/>
                    </a:xfrm>
                    <a:prstGeom prst="rect">
                      <a:avLst/>
                    </a:prstGeom>
                  </pic:spPr>
                </pic:pic>
              </a:graphicData>
            </a:graphic>
          </wp:inline>
        </w:drawing>
      </w:r>
    </w:p>
    <w:p>
      <w:pPr>
        <w:spacing/>
        <w:rPr/>
      </w:pPr>
      <w:r>
        <w:rPr/>
        <w:t xml:space="preserve">OrderingArea1</w:t>
      </w:r>
    </w:p>
    <w:p>
      <w:pPr>
        <w:spacing/>
        <w:rPr/>
      </w:pPr>
      <w:r>
        <w:rPr/>
        <w:drawing>
          <wp:inline>
            <wp:extent cx="2540000" cy="1917700"/>
            <wp:docPr id="2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6"/>
                    <a:srcRect/>
                    <a:stretch>
                      <a:fillRect/>
                    </a:stretch>
                  </pic:blipFill>
                  <pic:spPr bwMode="auto">
                    <a:xfrm>
                      <a:off x="0" y="0"/>
                      <a:ext cx="2540000" cy="1917700"/>
                    </a:xfrm>
                    <a:prstGeom prst="rect">
                      <a:avLst/>
                    </a:prstGeom>
                  </pic:spPr>
                </pic:pic>
              </a:graphicData>
            </a:graphic>
          </wp:inline>
        </w:drawing>
      </w:r>
    </w:p>
    <w:p>
      <w:pPr>
        <w:spacing/>
        <w:rPr/>
      </w:pPr>
      <w:r>
        <w:rPr/>
        <w:t xml:space="preserve">SeatingAreas1</w:t>
      </w:r>
    </w:p>
    <w:p>
      <w:pPr>
        <w:pStyle w:val="Heading1"/>
        <w:spacing w:line="420" w:lineRule="exact"/>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7"/>
        </w:numPr>
        <w:spacing/>
        <w:rPr/>
      </w:pPr>
      <w:r>
        <w:rPr/>
        <w:t xml:space="preserve">There is step free access throughout the venue</w:t>
      </w:r>
    </w:p>
    <w:p>
      <w:pPr>
        <w:pStyle w:val="ListBullet"/>
        <w:numPr>
          <w:ilvl w:val="0"/>
          <w:numId w:val="37"/>
        </w:numPr>
        <w:spacing/>
        <w:rPr/>
      </w:pPr>
      <w:r>
        <w:rPr/>
        <w:t xml:space="preserve">All ancillary areas are step free e.g. breakout rooms, dining areas, outside areas and exhibition spaces</w:t>
      </w:r>
    </w:p>
    <w:p>
      <w:pPr>
        <w:pStyle w:val="ListBullet"/>
        <w:numPr>
          <w:ilvl w:val="0"/>
          <w:numId w:val="37"/>
        </w:numPr>
        <w:spacing/>
        <w:rPr/>
      </w:pPr>
      <w:r>
        <w:rPr/>
        <w:t xml:space="preserve">All stage areas including speaker platforms are accessible</w:t>
      </w:r>
    </w:p>
    <w:p>
      <w:pPr>
        <w:pStyle w:val="ListBullet"/>
        <w:numPr>
          <w:ilvl w:val="0"/>
          <w:numId w:val="37"/>
        </w:numPr>
        <w:spacing/>
        <w:rPr/>
      </w:pPr>
      <w:r>
        <w:rPr/>
        <w:t xml:space="preserve">Accessible toilets are available at the venue</w:t>
      </w:r>
    </w:p>
    <w:p>
      <w:pPr>
        <w:pStyle w:val="ListBullet"/>
        <w:numPr>
          <w:ilvl w:val="0"/>
          <w:numId w:val="37"/>
        </w:numPr>
        <w:spacing/>
        <w:rPr/>
      </w:pPr>
      <w:r>
        <w:rPr/>
        <w:t xml:space="preserve">Wheelchair designated seating is provided</w:t>
      </w:r>
    </w:p>
    <w:p>
      <w:pPr>
        <w:pStyle w:val="ListBullet"/>
        <w:numPr>
          <w:ilvl w:val="0"/>
          <w:numId w:val="37"/>
        </w:numPr>
        <w:spacing/>
        <w:rPr/>
      </w:pPr>
      <w:r>
        <w:rPr/>
        <w:t xml:space="preserve">We cater for a range of seating and viewing options</w:t>
      </w:r>
    </w:p>
    <w:p>
      <w:pPr>
        <w:pStyle w:val="ListBullet"/>
        <w:numPr>
          <w:ilvl w:val="0"/>
          <w:numId w:val="37"/>
        </w:numPr>
        <w:spacing/>
        <w:rPr/>
      </w:pPr>
      <w:r>
        <w:rPr/>
        <w:t xml:space="preserve">We cater for varying group sizes</w:t>
      </w:r>
    </w:p>
    <w:p>
      <w:pPr>
        <w:pStyle w:val="ListBullet"/>
        <w:numPr>
          <w:ilvl w:val="0"/>
          <w:numId w:val="37"/>
        </w:numPr>
        <w:spacing/>
        <w:rPr/>
      </w:pPr>
      <w:r>
        <w:rPr/>
        <w:t xml:space="preserve">Audio description is available</w:t>
      </w:r>
    </w:p>
    <w:p>
      <w:pPr>
        <w:pStyle w:val="ListBullet"/>
        <w:numPr>
          <w:ilvl w:val="0"/>
          <w:numId w:val="37"/>
        </w:numPr>
        <w:spacing/>
        <w:rPr/>
      </w:pPr>
      <w:r>
        <w:rPr/>
        <w:t xml:space="preserve">There is  good circulation space with the number of people expected to allow people with a disability to move around freely</w:t>
      </w:r>
    </w:p>
    <w:p>
      <w:pPr>
        <w:pStyle w:val="ListBullet"/>
        <w:numPr>
          <w:ilvl w:val="0"/>
          <w:numId w:val="37"/>
        </w:numPr>
        <w:spacing/>
        <w:rPr/>
      </w:pPr>
      <w:r>
        <w:rPr/>
        <w:t xml:space="preserve">Accessible car parking is available</w:t>
      </w:r>
    </w:p>
    <w:p>
      <w:pPr>
        <w:pStyle w:val="ListBullet"/>
        <w:numPr>
          <w:ilvl w:val="0"/>
          <w:numId w:val="37"/>
        </w:numPr>
        <w:spacing/>
        <w:rPr/>
      </w:pPr>
      <w:r>
        <w:rPr/>
        <w:t xml:space="preserve">There are designated drop-off points</w:t>
      </w:r>
    </w:p>
    <w:p>
      <w:pPr>
        <w:pStyle w:val="ListBullet"/>
        <w:numPr>
          <w:ilvl w:val="0"/>
          <w:numId w:val="37"/>
        </w:numPr>
        <w:spacing/>
        <w:rPr/>
      </w:pPr>
      <w:r>
        <w:rPr/>
        <w:t xml:space="preserve">There is accessible public transport to the venue</w:t>
      </w:r>
    </w:p>
    <w:p>
      <w:pPr>
        <w:pStyle w:val="ListBullet"/>
        <w:numPr>
          <w:ilvl w:val="0"/>
          <w:numId w:val="37"/>
        </w:numPr>
        <w:spacing/>
        <w:rPr/>
      </w:pPr>
      <w:r>
        <w:rPr/>
        <w:t xml:space="preserve">The event includes the use of loud noises, fireworks or strobe lighting</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7" w:name="_Toc0000000033"/>
      <w:r>
        <w:rPr/>
        <w:t xml:space="preserve">Report Disclaimer</w:t>
      </w:r>
      <w:bookmarkEnd w:id="3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2" name="Picture 5"/>
              <a:graphic>
                <a:graphicData uri="http://schemas.openxmlformats.org/drawingml/2006/picture">
                  <pic:pic>
                    <pic:nvPicPr>
                      <pic:cNvPr id="0" name="" descr=""/>
                      <pic:cNvPicPr>
                        <a:picLocks noChangeAspect="1" noChangeArrowheads="1"/>
                      </pic:cNvPicPr>
                    </pic:nvPicPr>
                    <pic:blipFill>
                      <a:blip r:embed="rId5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8" Type="http://schemas.openxmlformats.org/officeDocument/2006/relationships/styles" Target="styles.xml" /><Relationship Id="rId59" Type="http://schemas.openxmlformats.org/officeDocument/2006/relationships/settings" Target="settings.xml" /><Relationship Id="rId60" Type="http://schemas.openxmlformats.org/officeDocument/2006/relationships/theme" Target="theme/theme1.xml" /><Relationship Id="rId61" Type="http://schemas.openxmlformats.org/officeDocument/2006/relationships/numbering" Target="numbering.xml" /><Relationship Id="rId1" Type="http://schemas.openxmlformats.org/officeDocument/2006/relationships/footer" Target="footer1.xml" /><Relationship Id="rId62" Type="http://schemas.openxmlformats.org/officeDocument/2006/relationships/fontTable" Target="fontTable.xml" /><Relationship Id="rId35" Type="http://schemas.openxmlformats.org/officeDocument/2006/relationships/image" Target="media/image3.jpeg" /><Relationship Id="rId36" Type="http://schemas.openxmlformats.org/officeDocument/2006/relationships/image" Target="media/image4.jpeg" /><Relationship Id="rId37" Type="http://schemas.openxmlformats.org/officeDocument/2006/relationships/image" Target="media/image5.jpeg" /><Relationship Id="rId38" Type="http://schemas.openxmlformats.org/officeDocument/2006/relationships/image" Target="media/image6.jpeg" /><Relationship Id="rId39" Type="http://schemas.openxmlformats.org/officeDocument/2006/relationships/image" Target="media/image7.jpeg" /><Relationship Id="rId40" Type="http://schemas.openxmlformats.org/officeDocument/2006/relationships/image" Target="media/image8.jpeg" /><Relationship Id="rId41" Type="http://schemas.openxmlformats.org/officeDocument/2006/relationships/image" Target="media/image9.jpeg" /><Relationship Id="rId42" Type="http://schemas.openxmlformats.org/officeDocument/2006/relationships/image" Target="media/image10.jpeg" /><Relationship Id="rId43" Type="http://schemas.openxmlformats.org/officeDocument/2006/relationships/image" Target="media/image11.jpeg" /><Relationship Id="rId44" Type="http://schemas.openxmlformats.org/officeDocument/2006/relationships/image" Target="media/image12.jpeg" /><Relationship Id="rId45" Type="http://schemas.openxmlformats.org/officeDocument/2006/relationships/image" Target="media/image13.jpeg" /><Relationship Id="rId46" Type="http://schemas.openxmlformats.org/officeDocument/2006/relationships/image" Target="media/image14.jpeg" /><Relationship Id="rId47" Type="http://schemas.openxmlformats.org/officeDocument/2006/relationships/image" Target="media/image15.jpeg" /><Relationship Id="rId48" Type="http://schemas.openxmlformats.org/officeDocument/2006/relationships/image" Target="media/image16.jpeg" /><Relationship Id="rId49" Type="http://schemas.openxmlformats.org/officeDocument/2006/relationships/image" Target="media/image17.jpeg" /><Relationship Id="rId50" Type="http://schemas.openxmlformats.org/officeDocument/2006/relationships/image" Target="media/image18.jpeg" /><Relationship Id="rId51" Type="http://schemas.openxmlformats.org/officeDocument/2006/relationships/image" Target="media/image19.jpeg" /><Relationship Id="rId52" Type="http://schemas.openxmlformats.org/officeDocument/2006/relationships/image" Target="media/image20.jpeg" /><Relationship Id="rId54" Type="http://schemas.openxmlformats.org/officeDocument/2006/relationships/image" Target="media/image21.jpeg" /><Relationship Id="rId55" Type="http://schemas.openxmlformats.org/officeDocument/2006/relationships/image" Target="media/image22.jpeg" /><Relationship Id="rId56" Type="http://schemas.openxmlformats.org/officeDocument/2006/relationships/image" Target="media/image23.jpeg" /><Relationship Id="rId53" Type="http://schemas.openxmlformats.org/officeDocument/2006/relationships/hyperlink" Target="https://cdn.rydges.com/wp-content/uploads/sites/25/2015/10/23155225/MLB-Menu-A-la-Carte-Online-.pdf?_gl=1*1abqnsn*_gcl_aw*R0NMLjE2ODg4OTkzMzcuQ2owS0NRand0YW1sQmhEM0FSSXNBQVJvYUV6ZTVQTFVjMlNPV0ZIQ2FIRFludVBOUE95QlVXQkxCeGdwd2FpN29KcVh0SHJaZWktX1RFNGFBb0xGRUFMd193Y0I.*_gcl_au*MTkxMDEzNDI2MC4xNjg2NTMzMzg2" TargetMode="External" /><Relationship Id="rId63" Type="http://schemas.openxmlformats.org/officeDocument/2006/relationships/customXml" Target="../customXml/item1.xml" /><Relationship Id="rId64" Type="http://schemas.openxmlformats.org/officeDocument/2006/relationships/customXml" Target="../customXml/item2.xml" /><Relationship Id="rId65" Type="http://schemas.openxmlformats.org/officeDocument/2006/relationships/customXml" Target="../customXml/item3.xml" /><Relationship Id="rId6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