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Central Wheatbelt Visitor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45 Barrack Street</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Merredin</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Carina Macdonald</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9041 1666</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visitor@merredin.wa.gov.au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www.wheatbelttourism.com</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2026-06-04 07:46</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4</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Entry</w:t>
            </w:r>
            <w:r>
              <w:rPr/>
              <w:tab/>
              <w:t xml:space="preserve"/>
            </w:r>
            <w:r>
              <w:rPr/>
              <w:fldChar w:fldCharType="begin"/>
            </w:r>
            <w:r>
              <w:rPr/>
              <w:instrText>PAGEREF _Toc0000000012 \h</w:instrText>
            </w:r>
            <w:r>
              <w:rPr/>
              <w:fldChar w:fldCharType="separate"/>
            </w:r>
            <w:r>
              <w:rPr/>
              <w:t xml:space="preserve">7</w:t>
            </w:r>
            <w:r>
              <w:rPr/>
              <w:fldChar w:fldCharType="end"/>
            </w:r>
          </w:hyperlink>
        </w:p>
        <w:p>
          <w:pPr>
            <w:pStyle w:val="TOC2"/>
            <w:tabs>
              <w:tab w:val="right" w:leader="dot" w:pos="9016"/>
            </w:tabs>
            <w:spacing/>
            <w:rPr/>
          </w:pPr>
          <w:hyperlink w:anchor="_Toc0000000013" w:history="1">
            <w:r>
              <w:rPr>
                <w:rStyle w:val="Hyperlink"/>
              </w:rPr>
              <w:t xml:space="preserve">Internal Spaces</w:t>
            </w:r>
            <w:r>
              <w:rPr/>
              <w:tab/>
              <w:t xml:space="preserve"/>
            </w:r>
            <w:r>
              <w:rPr/>
              <w:fldChar w:fldCharType="begin"/>
            </w:r>
            <w:r>
              <w:rPr/>
              <w:instrText>PAGEREF _Toc0000000013 \h</w:instrText>
            </w:r>
            <w:r>
              <w:rPr/>
              <w:fldChar w:fldCharType="separate"/>
            </w:r>
            <w:r>
              <w:rPr/>
              <w:t xml:space="preserve">7</w:t>
            </w:r>
            <w:r>
              <w:rPr/>
              <w:fldChar w:fldCharType="end"/>
            </w:r>
          </w:hyperlink>
        </w:p>
        <w:p>
          <w:pPr>
            <w:pStyle w:val="TOC2"/>
            <w:tabs>
              <w:tab w:val="right" w:leader="dot" w:pos="9016"/>
            </w:tabs>
            <w:spacing/>
            <w:rPr/>
          </w:pPr>
          <w:hyperlink w:anchor="_Toc0000000014" w:history="1">
            <w:r>
              <w:rPr>
                <w:rStyle w:val="Hyperlink"/>
              </w:rPr>
              <w:t xml:space="preserve">Public areas</w:t>
            </w:r>
            <w:r>
              <w:rPr/>
              <w:tab/>
              <w:t xml:space="preserve"/>
            </w:r>
            <w:r>
              <w:rPr/>
              <w:fldChar w:fldCharType="begin"/>
            </w:r>
            <w:r>
              <w:rPr/>
              <w:instrText>PAGEREF _Toc0000000014 \h</w:instrText>
            </w:r>
            <w:r>
              <w:rPr/>
              <w:fldChar w:fldCharType="separate"/>
            </w:r>
            <w:r>
              <w:rPr/>
              <w:t xml:space="preserve">7</w:t>
            </w:r>
            <w:r>
              <w:rPr/>
              <w:fldChar w:fldCharType="end"/>
            </w:r>
          </w:hyperlink>
        </w:p>
        <w:p>
          <w:pPr>
            <w:pStyle w:val="TOC2"/>
            <w:tabs>
              <w:tab w:val="right" w:leader="dot" w:pos="9016"/>
            </w:tabs>
            <w:spacing/>
            <w:rPr/>
          </w:pPr>
          <w:hyperlink w:anchor="_Toc0000000015" w:history="1">
            <w:r>
              <w:rPr>
                <w:rStyle w:val="Hyperlink"/>
              </w:rPr>
              <w:t xml:space="preserve">External Paths</w:t>
            </w:r>
            <w:r>
              <w:rPr/>
              <w:tab/>
              <w:t xml:space="preserve"/>
            </w:r>
            <w:r>
              <w:rPr/>
              <w:fldChar w:fldCharType="begin"/>
            </w:r>
            <w:r>
              <w:rPr/>
              <w:instrText>PAGEREF _Toc0000000015 \h</w:instrText>
            </w:r>
            <w:r>
              <w:rPr/>
              <w:fldChar w:fldCharType="separate"/>
            </w:r>
            <w:r>
              <w:rPr/>
              <w:t xml:space="preserve">8</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8</w:t>
            </w:r>
            <w:r>
              <w:rPr/>
              <w:fldChar w:fldCharType="end"/>
            </w:r>
          </w:hyperlink>
        </w:p>
        <w:p>
          <w:pPr>
            <w:pStyle w:val="TOC1"/>
            <w:tabs>
              <w:tab w:val="right" w:leader="dot" w:pos="9016"/>
            </w:tabs>
            <w:spacing/>
            <w:rPr/>
          </w:pPr>
          <w:hyperlink w:anchor="_Toc0000000017" w:history="1">
            <w:r>
              <w:rPr>
                <w:rStyle w:val="Hyperlink"/>
              </w:rPr>
              <w:t xml:space="preserve">COMMON AREAS</w:t>
            </w:r>
            <w:r>
              <w:rPr/>
              <w:tab/>
              <w:t xml:space="preserve"/>
            </w:r>
            <w:r>
              <w:rPr/>
              <w:fldChar w:fldCharType="begin"/>
            </w:r>
            <w:r>
              <w:rPr/>
              <w:instrText>PAGEREF _Toc0000000017 \h</w:instrText>
            </w:r>
            <w:r>
              <w:rPr/>
              <w:fldChar w:fldCharType="separate"/>
            </w:r>
            <w:r>
              <w:rPr/>
              <w:t xml:space="preserve">9</w:t>
            </w:r>
            <w:r>
              <w:rPr/>
              <w:fldChar w:fldCharType="end"/>
            </w:r>
          </w:hyperlink>
        </w:p>
        <w:p>
          <w:pPr>
            <w:pStyle w:val="TOC2"/>
            <w:tabs>
              <w:tab w:val="right" w:leader="dot" w:pos="9016"/>
            </w:tabs>
            <w:spacing/>
            <w:rPr/>
          </w:pPr>
          <w:hyperlink w:anchor="_Toc0000000018" w:history="1">
            <w:r>
              <w:rPr>
                <w:rStyle w:val="Hyperlink"/>
              </w:rPr>
              <w:t xml:space="preserve">Parks and gardens</w:t>
            </w:r>
            <w:r>
              <w:rPr/>
              <w:tab/>
              <w:t xml:space="preserve"/>
            </w:r>
            <w:r>
              <w:rPr/>
              <w:fldChar w:fldCharType="begin"/>
            </w:r>
            <w:r>
              <w:rPr/>
              <w:instrText>PAGEREF _Toc0000000018 \h</w:instrText>
            </w:r>
            <w:r>
              <w:rPr/>
              <w:fldChar w:fldCharType="separate"/>
            </w:r>
            <w:r>
              <w:rPr/>
              <w:t xml:space="preserve">9</w:t>
            </w:r>
            <w:r>
              <w:rPr/>
              <w:fldChar w:fldCharType="end"/>
            </w:r>
          </w:hyperlink>
        </w:p>
        <w:p>
          <w:pPr>
            <w:pStyle w:val="TOC2"/>
            <w:tabs>
              <w:tab w:val="right" w:leader="dot" w:pos="9016"/>
            </w:tabs>
            <w:spacing/>
            <w:rPr/>
          </w:pPr>
          <w:hyperlink w:anchor="_Toc0000000019" w:history="1">
            <w:r>
              <w:rPr>
                <w:rStyle w:val="Hyperlink"/>
              </w:rPr>
              <w:t xml:space="preserve">Report Disclaimer</w:t>
            </w:r>
            <w:r>
              <w:rPr/>
              <w:tab/>
              <w:t xml:space="preserve"/>
            </w:r>
            <w:r>
              <w:rPr/>
              <w:fldChar w:fldCharType="begin"/>
            </w:r>
            <w:r>
              <w:rPr/>
              <w:instrText>PAGEREF _Toc0000000019 \h</w:instrText>
            </w:r>
            <w:r>
              <w:rPr/>
              <w:fldChar w:fldCharType="separate"/>
            </w:r>
            <w:r>
              <w:rPr/>
              <w:t xml:space="preserve">12</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Exit signs are clear and easy to see</w:t>
      </w:r>
    </w:p>
    <w:p>
      <w:pPr>
        <w:pStyle w:val="ListBullet"/>
        <w:numPr>
          <w:ilvl w:val="0"/>
          <w:numId w:val="37"/>
        </w:numPr>
        <w:spacing/>
        <w:rPr/>
      </w:pPr>
      <w:r>
        <w:rPr/>
        <w:t xml:space="preserve">Exit doors are able to be opened by all occupants</w:t>
      </w:r>
    </w:p>
    <w:p>
      <w:pPr>
        <w:pStyle w:val="ListBullet"/>
        <w:numPr>
          <w:ilvl w:val="0"/>
          <w:numId w:val="37"/>
        </w:numPr>
        <w:spacing/>
        <w:rPr/>
      </w:pPr>
      <w:r>
        <w:rPr/>
        <w:t xml:space="preserve">Exits to the emergency evacuation point does not include stairways</w:t>
      </w:r>
    </w:p>
    <w:p>
      <w:pPr>
        <w:pBdr/>
        <w:spacing/>
        <w:rPr>
          <w:sz w:val="24"/>
        </w:rPr>
      </w:pPr>
      <w:r>
        <w:rPr>
          <w:sz w:val="24"/>
        </w:rPr>
        <w:t xml:space="preserve">The business identifies guests who need additional assistance should an emergency occur by: first instance would be guests in wheelchair, frail seniors or using a mobility scooter</w:t>
      </w:r>
    </w:p>
    <w:p>
      <w:pPr>
        <w:pBdr/>
        <w:spacing/>
        <w:rPr>
          <w:sz w:val="24"/>
        </w:rPr>
      </w:pPr>
      <w:r>
        <w:rPr>
          <w:sz w:val="24"/>
        </w:rPr>
        <w:t xml:space="preserve">The procedure for assisting guests who need assisted rescue is: Emergency services/Unsure</w:t>
      </w:r>
    </w:p>
    <w:p>
      <w:pPr>
        <w:spacing/>
        <w:rPr/>
      </w:pPr>
      <w:r>
        <w:rPr/>
        <w:t xml:space="preserve"> </w:t>
      </w:r>
    </w:p>
    <w:p>
      <w:pPr>
        <w:pStyle w:val="Heading2"/>
        <w:spacing/>
        <w:rPr/>
      </w:pPr>
      <w:bookmarkStart w:id="9" w:name="_Toc0000000005"/>
      <w:r>
        <w:rPr/>
        <w:t xml:space="preserve">Communications</w:t>
      </w:r>
      <w:bookmarkEnd w:id="9"/>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pStyle w:val="ListBullet"/>
        <w:numPr>
          <w:ilvl w:val="0"/>
          <w:numId w:val="37"/>
        </w:numPr>
        <w:spacing/>
        <w:rPr/>
      </w:pPr>
      <w:r>
        <w:rPr/>
        <w:t xml:space="preserve">The business accepts the companion card</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Bdr/>
        <w:spacing/>
        <w:rPr>
          <w:sz w:val="24"/>
        </w:rPr>
      </w:pPr>
      <w:r>
        <w:rPr>
          <w:sz w:val="24"/>
        </w:rPr>
        <w:t xml:space="preserve">The business provides the following services for services animals: water, and access to the building</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clipboard to allow check-in/ticket purchase whilst seated</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Information and maps are available in written form</w:t>
      </w:r>
    </w:p>
    <w:p>
      <w:pPr>
        <w:pBdr/>
        <w:spacing/>
        <w:rPr>
          <w:sz w:val="24"/>
        </w:rPr>
      </w:pPr>
      <w:r>
        <w:rPr>
          <w:sz w:val="24"/>
        </w:rPr>
        <w:t xml:space="preserve">The following steps are in place to ensure that people with fatigue related to their disability are not disadvantaged by long wait times: multiple counters and available staff to service more than one customer at a time</w:t>
      </w:r>
    </w:p>
    <w:p>
      <w:pPr>
        <w:pStyle w:val="ListBullet"/>
        <w:numPr>
          <w:ilvl w:val="0"/>
          <w:numId w:val="37"/>
        </w:numPr>
        <w:spacing/>
        <w:rPr/>
      </w:pPr>
      <w:r>
        <w:rPr/>
        <w:t xml:space="preserve">In addition, the following further information can assist guests:</w:t>
      </w:r>
    </w:p>
    <w:p>
      <w:pPr>
        <w:spacing/>
        <w:rPr/>
      </w:pPr>
      <w:r>
        <w:rPr/>
        <w:t xml:space="preserve">Visitor space with comfortable seating, where staff can provide information to the guest in this space if required.</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Signage </w:t>
      </w:r>
    </w:p>
    <w:p>
      <w:pPr>
        <w:pStyle w:val="ListBullet"/>
        <w:numPr>
          <w:ilvl w:val="0"/>
          <w:numId w:val="37"/>
        </w:numPr>
        <w:spacing/>
        <w:rPr/>
      </w:pPr>
      <w:r>
        <w:rPr/>
        <w:t xml:space="preserve">In addition, the following further information can assist guests:</w:t>
      </w:r>
    </w:p>
    <w:p>
      <w:pPr>
        <w:spacing/>
        <w:rPr/>
      </w:pPr>
      <w:r>
        <w:rPr/>
        <w:t xml:space="preserve">Any method that would improve accessibility would be considered in the new location</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7"/>
        </w:numPr>
        <w:spacing/>
        <w:rPr/>
      </w:pPr>
      <w:r>
        <w:rPr/>
        <w:t xml:space="preserve">A drop off point close to the entrance</w:t>
      </w:r>
    </w:p>
    <w:p>
      <w:pPr>
        <w:pStyle w:val="ListBullet"/>
        <w:numPr>
          <w:ilvl w:val="0"/>
          <w:numId w:val="37"/>
        </w:numPr>
        <w:spacing/>
        <w:rPr/>
      </w:pPr>
      <w:r>
        <w:rPr/>
        <w:t xml:space="preserve">A path of access to the building is slip resistance and even</w:t>
      </w:r>
    </w:p>
    <w:p>
      <w:pPr>
        <w:pStyle w:val="ListBullet"/>
        <w:numPr>
          <w:ilvl w:val="0"/>
          <w:numId w:val="37"/>
        </w:numPr>
        <w:spacing/>
        <w:rPr/>
      </w:pPr>
      <w:r>
        <w:rPr/>
        <w:t xml:space="preserve">A path of access to the building is clear of obstruction</w:t>
      </w:r>
    </w:p>
    <w:p>
      <w:pPr>
        <w:pStyle w:val="ListBullet"/>
        <w:numPr>
          <w:ilvl w:val="0"/>
          <w:numId w:val="37"/>
        </w:numPr>
        <w:spacing/>
        <w:rPr/>
      </w:pPr>
      <w:r>
        <w:rPr/>
        <w:t xml:space="preserve">Self opening entry doors or fitted with a self closer</w:t>
      </w:r>
    </w:p>
    <w:p>
      <w:pPr>
        <w:pStyle w:val="ListBullet"/>
        <w:numPr>
          <w:ilvl w:val="0"/>
          <w:numId w:val="37"/>
        </w:numPr>
        <w:spacing/>
        <w:rPr/>
      </w:pPr>
      <w:r>
        <w:rPr/>
        <w:t xml:space="preserve">Glass doors are fitted with a visual sighting strip</w:t>
      </w:r>
    </w:p>
    <w:p>
      <w:pPr>
        <w:pStyle w:val="ListBullet"/>
        <w:numPr>
          <w:ilvl w:val="0"/>
          <w:numId w:val="37"/>
        </w:numPr>
        <w:spacing/>
        <w:rPr/>
      </w:pPr>
      <w:r>
        <w:rPr/>
        <w:t xml:space="preserve">The entry door is a minimum of 850mm wide</w:t>
      </w:r>
    </w:p>
    <w:p>
      <w:pPr>
        <w:pStyle w:val="ListBullet"/>
        <w:numPr>
          <w:ilvl w:val="0"/>
          <w:numId w:val="37"/>
        </w:numPr>
        <w:spacing/>
        <w:rPr/>
      </w:pPr>
      <w:r>
        <w:rPr/>
        <w:t xml:space="preserve">There a clear space of at least 1500mm x 1500mm in front of all doors.</w:t>
      </w:r>
    </w:p>
    <w:p>
      <w:pPr>
        <w:pStyle w:val="ListBullet"/>
        <w:numPr>
          <w:ilvl w:val="0"/>
          <w:numId w:val="37"/>
        </w:numPr>
        <w:spacing/>
        <w:rPr/>
      </w:pPr>
      <w:r>
        <w:rPr/>
        <w:t xml:space="preserve">The entrance door mats have a thickness less than 13mm and a width of 7500mm or greater</w:t>
      </w:r>
    </w:p>
    <w:p>
      <w:pPr>
        <w:pStyle w:val="ListBullet"/>
        <w:numPr>
          <w:ilvl w:val="0"/>
          <w:numId w:val="37"/>
        </w:numPr>
        <w:spacing/>
        <w:rPr/>
      </w:pPr>
      <w:r>
        <w:rPr/>
        <w:t xml:space="preserve">In addition, the following further information can assist guests:</w:t>
      </w:r>
    </w:p>
    <w:p>
      <w:pPr>
        <w:spacing/>
        <w:rPr/>
      </w:pPr>
      <w:r>
        <w:rPr/>
        <w:t xml:space="preserve">As the electronic door entrance is still yet to be installed, I envisage that there would be a sign on the door to alert visitors to the doors being automatic. </w:t>
      </w:r>
    </w:p>
    <w:p>
      <w:pPr>
        <w:pStyle w:val="ListBullet"/>
        <w:numPr>
          <w:ilvl w:val="0"/>
          <w:numId w:val="37"/>
        </w:numPr>
        <w:spacing/>
        <w:rPr/>
      </w:pPr>
      <w:r>
        <w:rPr/>
        <w:t xml:space="preserve">In addition, the following further information can assist guests:</w:t>
      </w:r>
    </w:p>
    <w:p>
      <w:pPr>
        <w:spacing/>
        <w:rPr/>
      </w:pPr>
      <w:r>
        <w:rPr/>
        <w:t xml:space="preserve">single story</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7"/>
        </w:numPr>
        <w:spacing/>
        <w:rPr/>
      </w:pPr>
      <w:r>
        <w:rPr/>
        <w:t xml:space="preserve">Clear and unobstructed routes through and between buildings</w:t>
      </w:r>
    </w:p>
    <w:p>
      <w:pPr>
        <w:pStyle w:val="ListBullet"/>
        <w:numPr>
          <w:ilvl w:val="0"/>
          <w:numId w:val="37"/>
        </w:numPr>
        <w:spacing/>
        <w:rPr/>
      </w:pPr>
      <w:r>
        <w:rPr/>
        <w:t xml:space="preserve">Interior walls are matte or low sheen</w:t>
      </w:r>
    </w:p>
    <w:p>
      <w:pPr>
        <w:pStyle w:val="ListBullet"/>
        <w:numPr>
          <w:ilvl w:val="0"/>
          <w:numId w:val="37"/>
        </w:numPr>
        <w:spacing/>
        <w:rPr/>
      </w:pPr>
      <w:r>
        <w:rPr/>
        <w:t xml:space="preserve">Floors, walls, counters and furniture are of contrasting colours</w:t>
      </w:r>
    </w:p>
    <w:p>
      <w:pPr>
        <w:pStyle w:val="ListBullet"/>
        <w:numPr>
          <w:ilvl w:val="0"/>
          <w:numId w:val="37"/>
        </w:numPr>
        <w:spacing/>
        <w:rPr/>
      </w:pPr>
      <w:r>
        <w:rPr/>
        <w:t xml:space="preserve">Floor surfaces are hard or short pile carpet</w:t>
      </w:r>
    </w:p>
    <w:p>
      <w:pPr>
        <w:pStyle w:val="ListBullet"/>
        <w:numPr>
          <w:ilvl w:val="0"/>
          <w:numId w:val="37"/>
        </w:numPr>
        <w:spacing/>
        <w:rPr/>
      </w:pPr>
      <w:r>
        <w:rPr/>
        <w:t xml:space="preserve">Seating is available for guests unable to stand for long periods</w:t>
      </w:r>
    </w:p>
    <w:p>
      <w:pPr>
        <w:pStyle w:val="ListBullet"/>
        <w:numPr>
          <w:ilvl w:val="0"/>
          <w:numId w:val="37"/>
        </w:numPr>
        <w:spacing/>
        <w:rPr/>
      </w:pPr>
      <w:r>
        <w:rPr/>
        <w:t xml:space="preserve">All corridors greater than 900mm</w:t>
      </w:r>
    </w:p>
    <w:p>
      <w:pPr>
        <w:pStyle w:val="ListBullet"/>
        <w:numPr>
          <w:ilvl w:val="0"/>
          <w:numId w:val="37"/>
        </w:numPr>
        <w:spacing/>
        <w:rPr/>
      </w:pPr>
      <w:r>
        <w:rPr/>
        <w:t xml:space="preserve">In addition, the following further information can assist guests:</w:t>
      </w:r>
    </w:p>
    <w:p>
      <w:pPr>
        <w:spacing/>
        <w:rPr/>
      </w:pPr>
      <w:r>
        <w:rPr/>
        <w:t xml:space="preserve">Once the building is ready for relocation, consideration for accessible width between display furniture will be a priority.</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7"/>
        </w:numPr>
        <w:spacing/>
        <w:rPr/>
      </w:pPr>
      <w:r>
        <w:rPr/>
        <w:t xml:space="preserve">Even lighting</w:t>
      </w:r>
    </w:p>
    <w:p>
      <w:pPr>
        <w:pStyle w:val="ListBullet"/>
        <w:numPr>
          <w:ilvl w:val="0"/>
          <w:numId w:val="37"/>
        </w:numPr>
        <w:spacing/>
        <w:rPr/>
      </w:pPr>
      <w:r>
        <w:rPr/>
        <w:t xml:space="preserve">Seating</w:t>
      </w:r>
    </w:p>
    <w:p>
      <w:pPr>
        <w:pStyle w:val="ListBullet"/>
        <w:numPr>
          <w:ilvl w:val="0"/>
          <w:numId w:val="37"/>
        </w:numPr>
        <w:spacing/>
        <w:rPr/>
      </w:pPr>
      <w:r>
        <w:rPr/>
        <w:t xml:space="preserve">In addition, the following further information can assist guests:</w:t>
      </w:r>
    </w:p>
    <w:p>
      <w:pPr>
        <w:spacing/>
        <w:rPr/>
      </w:pPr>
      <w:r>
        <w:rPr/>
        <w:t xml:space="preserve">Any video display on a TV monitor will be installed at a later date and Open Caption will be a consideration.</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Pathways are wider than 900mm</w:t>
      </w:r>
    </w:p>
    <w:p>
      <w:pPr>
        <w:pBdr/>
        <w:spacing/>
        <w:rPr>
          <w:sz w:val="24"/>
        </w:rPr>
      </w:pPr>
      <w:r>
        <w:rPr>
          <w:sz w:val="24"/>
        </w:rPr>
        <w:t xml:space="preserve">There are no steps on paths or entry</w:t>
      </w:r>
    </w:p>
    <w:p>
      <w:pPr>
        <w:pStyle w:val="ListBullet"/>
        <w:numPr>
          <w:ilvl w:val="0"/>
          <w:numId w:val="37"/>
        </w:numPr>
        <w:spacing/>
        <w:rPr/>
      </w:pPr>
      <w:r>
        <w:rPr/>
        <w:t xml:space="preserve">In addition, the following further information can assist guests:</w:t>
      </w:r>
    </w:p>
    <w:p>
      <w:pPr>
        <w:spacing/>
        <w:rPr/>
      </w:pPr>
      <w:r>
        <w:rPr/>
        <w:t xml:space="preserve">The existing building's surrounding paths will be modified to provide accessibility if required.</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The transportable toilet block is disability assessable however it will be installed before the existing public toilets are demolished in preparation for the CBD redevelopment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Heading1"/>
        <w:spacing w:line="420" w:lineRule="exact"/>
        <w:rPr/>
      </w:pPr>
      <w:bookmarkStart w:id="21" w:name="_Toc0000000017"/>
      <w:r>
        <w:rPr/>
        <w:t xml:space="preserve">COMMON AREAS</w:t>
      </w:r>
      <w:bookmarkEnd w:id="21"/>
    </w:p>
    <w:p>
      <w:pPr>
        <w:spacing/>
        <w:rPr/>
      </w:pPr>
      <w:r>
        <w:rPr/>
        <w:t xml:space="preserve"> </w:t>
      </w:r>
    </w:p>
    <w:p>
      <w:pPr>
        <w:pStyle w:val="Heading2"/>
        <w:spacing/>
        <w:rPr/>
      </w:pPr>
      <w:bookmarkStart w:id="22" w:name="_Toc0000000018"/>
      <w:r>
        <w:rPr/>
        <w:t xml:space="preserve">Parks and gardens</w:t>
      </w:r>
      <w:bookmarkEnd w:id="22"/>
    </w:p>
    <w:p>
      <w:pPr>
        <w:pStyle w:val="ListBullet"/>
        <w:numPr>
          <w:ilvl w:val="0"/>
          <w:numId w:val="37"/>
        </w:numPr>
        <w:spacing/>
        <w:rPr/>
      </w:pPr>
      <w:r>
        <w:rPr/>
        <w:t xml:space="preserve">The following parks and gardens amenities are available</w:t>
      </w:r>
    </w:p>
    <w:p>
      <w:pPr>
        <w:pStyle w:val="ListBullet"/>
        <w:numPr>
          <w:ilvl w:val="0"/>
          <w:numId w:val="37"/>
        </w:numPr>
        <w:spacing/>
        <w:rPr/>
      </w:pPr>
      <w:r>
        <w:rPr/>
        <w:t xml:space="preserve">The park or garden contains  sensory experiences</w:t>
      </w:r>
    </w:p>
    <w:p>
      <w:pPr>
        <w:pStyle w:val="ListBullet"/>
        <w:numPr>
          <w:ilvl w:val="0"/>
          <w:numId w:val="37"/>
        </w:numPr>
        <w:spacing/>
        <w:rPr/>
      </w:pPr>
      <w:r>
        <w:rPr/>
        <w:t xml:space="preserve">Accessible picnic tables</w:t>
      </w:r>
    </w:p>
    <w:p>
      <w:pPr>
        <w:pStyle w:val="ListBullet"/>
        <w:numPr>
          <w:ilvl w:val="0"/>
          <w:numId w:val="37"/>
        </w:numPr>
        <w:spacing/>
        <w:rPr/>
      </w:pPr>
      <w:r>
        <w:rPr/>
        <w:t xml:space="preserve">Accessible drinking fountains</w:t>
      </w:r>
    </w:p>
    <w:p>
      <w:pPr>
        <w:pStyle w:val="ListBullet"/>
        <w:numPr>
          <w:ilvl w:val="0"/>
          <w:numId w:val="37"/>
        </w:numPr>
        <w:spacing/>
        <w:rPr/>
      </w:pPr>
      <w:r>
        <w:rPr/>
        <w:t xml:space="preserve">Edge protection is provided</w:t>
      </w:r>
    </w:p>
    <w:p>
      <w:pPr>
        <w:pStyle w:val="Subtitle"/>
        <w:spacing/>
        <w:rPr/>
      </w:pPr>
      <w:r>
        <w:rPr/>
        <w:t xml:space="preserve">Parks and Gardens Access/Entry Image(s)</w:t>
      </w:r>
    </w:p>
    <w:p>
      <w:pPr>
        <w:spacing/>
        <w:rPr/>
      </w:pPr>
      <w:r>
        <w:rPr/>
        <w:drawing>
          <wp:inline>
            <wp:extent cx="2540000" cy="1905000"/>
            <wp:docPr id="1"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1"/>
                    <a:srcRect/>
                    <a:stretch>
                      <a:fillRect/>
                    </a:stretch>
                  </pic:blipFill>
                  <pic:spPr bwMode="auto">
                    <a:xfrm>
                      <a:off x="0" y="0"/>
                      <a:ext cx="2540000" cy="1905000"/>
                    </a:xfrm>
                    <a:prstGeom prst="rect">
                      <a:avLst/>
                    </a:prstGeom>
                  </pic:spPr>
                </pic:pic>
              </a:graphicData>
            </a:graphic>
          </wp:inline>
        </w:drawing>
      </w:r>
    </w:p>
    <w:p>
      <w:pPr>
        <w:spacing/>
        <w:rPr/>
      </w:pPr>
      <w:r>
        <w:rPr/>
        <w:t xml:space="preserve">2</w:t>
      </w:r>
    </w:p>
    <w:p>
      <w:pPr>
        <w:spacing/>
        <w:rPr/>
      </w:pPr>
      <w:r>
        <w:rPr/>
        <w:drawing>
          <wp:inline>
            <wp:extent cx="2540000" cy="1905000"/>
            <wp:docPr id="2"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2"/>
                    <a:srcRect/>
                    <a:stretch>
                      <a:fillRect/>
                    </a:stretch>
                  </pic:blipFill>
                  <pic:spPr bwMode="auto">
                    <a:xfrm>
                      <a:off x="0" y="0"/>
                      <a:ext cx="2540000" cy="1905000"/>
                    </a:xfrm>
                    <a:prstGeom prst="rect">
                      <a:avLst/>
                    </a:prstGeom>
                  </pic:spPr>
                </pic:pic>
              </a:graphicData>
            </a:graphic>
          </wp:inline>
        </w:drawing>
      </w:r>
    </w:p>
    <w:p>
      <w:pPr>
        <w:spacing/>
        <w:rPr/>
      </w:pPr>
      <w:r>
        <w:rPr/>
        <w:t xml:space="preserve">3</w:t>
      </w:r>
    </w:p>
    <w:p>
      <w:pPr>
        <w:spacing/>
        <w:rPr/>
      </w:pPr>
      <w:r>
        <w:rPr/>
        <w:drawing>
          <wp:inline>
            <wp:extent cx="2540000" cy="1905000"/>
            <wp:docPr id="3"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3"/>
                    <a:srcRect/>
                    <a:stretch>
                      <a:fillRect/>
                    </a:stretch>
                  </pic:blipFill>
                  <pic:spPr bwMode="auto">
                    <a:xfrm>
                      <a:off x="0" y="0"/>
                      <a:ext cx="2540000" cy="1905000"/>
                    </a:xfrm>
                    <a:prstGeom prst="rect">
                      <a:avLst/>
                    </a:prstGeom>
                  </pic:spPr>
                </pic:pic>
              </a:graphicData>
            </a:graphic>
          </wp:inline>
        </w:drawing>
      </w:r>
    </w:p>
    <w:p>
      <w:pPr>
        <w:spacing/>
        <w:rPr/>
      </w:pPr>
      <w:r>
        <w:rPr/>
        <w:t xml:space="preserve">4</w:t>
      </w:r>
    </w:p>
    <w:p>
      <w:pPr>
        <w:spacing/>
        <w:rPr/>
      </w:pPr>
      <w:r>
        <w:rPr/>
        <w:drawing>
          <wp:inline>
            <wp:extent cx="2540000" cy="1905000"/>
            <wp:docPr id="4"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4"/>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Pioneer Park Car Park</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3" w:name="_Toc0000000019"/>
      <w:r>
        <w:rPr/>
        <w:t xml:space="preserve">Report Disclaimer</w:t>
      </w:r>
      <w:bookmarkEnd w:id="23"/>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5" name="Picture 5"/>
              <a:graphic>
                <a:graphicData uri="http://schemas.openxmlformats.org/drawingml/2006/picture">
                  <pic:pic>
                    <pic:nvPicPr>
                      <pic:cNvPr id="0" name="" descr=""/>
                      <pic:cNvPicPr>
                        <a:picLocks noChangeAspect="1" noChangeArrowheads="1"/>
                      </pic:cNvPicPr>
                    </pic:nvPicPr>
                    <pic:blipFill>
                      <a:blip r:embed="rId25"/>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6" Type="http://schemas.openxmlformats.org/officeDocument/2006/relationships/styles" Target="styles.xml" /><Relationship Id="rId27" Type="http://schemas.openxmlformats.org/officeDocument/2006/relationships/settings" Target="settings.xml" /><Relationship Id="rId28" Type="http://schemas.openxmlformats.org/officeDocument/2006/relationships/theme" Target="theme/theme1.xml" /><Relationship Id="rId29" Type="http://schemas.openxmlformats.org/officeDocument/2006/relationships/numbering" Target="numbering.xml" /><Relationship Id="rId1" Type="http://schemas.openxmlformats.org/officeDocument/2006/relationships/footer" Target="footer1.xml" /><Relationship Id="rId30" Type="http://schemas.openxmlformats.org/officeDocument/2006/relationships/fontTable" Target="fontTable.xml" /><Relationship Id="rId21" Type="http://schemas.openxmlformats.org/officeDocument/2006/relationships/image" Target="media/image3.jpeg" /><Relationship Id="rId22" Type="http://schemas.openxmlformats.org/officeDocument/2006/relationships/image" Target="media/image4.jpeg" /><Relationship Id="rId23" Type="http://schemas.openxmlformats.org/officeDocument/2006/relationships/image" Target="media/image5.jpeg" /><Relationship Id="rId24" Type="http://schemas.openxmlformats.org/officeDocument/2006/relationships/image" Target="media/image6.jpeg" /><Relationship Id="rId31" Type="http://schemas.openxmlformats.org/officeDocument/2006/relationships/customXml" Target="../customXml/item1.xml" /><Relationship Id="rId32" Type="http://schemas.openxmlformats.org/officeDocument/2006/relationships/customXml" Target="../customXml/item2.xml" /><Relationship Id="rId33" Type="http://schemas.openxmlformats.org/officeDocument/2006/relationships/customXml" Target="../customXml/item3.xml" /><Relationship Id="rId34"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5"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