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Mt Hart Wilderness Lodge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Gibb River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Derby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Natasha  Marti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9191 4645</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enquiries@mounthart.com.au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www.mounthart.com.au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2026-06-14 13:39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1"/>
            <w:tabs>
              <w:tab w:val="right" w:leader="dot" w:pos="9016"/>
            </w:tabs>
            <w:spacing/>
            <w:rPr/>
          </w:pPr>
          <w:hyperlink w:anchor="_Toc0000000023" w:history="1">
            <w:r>
              <w:rPr>
                <w:rStyle w:val="Hyperlink"/>
              </w:rPr>
              <w:t xml:space="preserve">FOOD AND DRINK</w:t>
            </w:r>
            <w:r>
              <w:rPr/>
              <w:tab/>
              <w:t xml:space="preserve"/>
            </w:r>
            <w:r>
              <w:rPr/>
              <w:fldChar w:fldCharType="begin"/>
            </w:r>
            <w:r>
              <w:rPr/>
              <w:instrText>PAGEREF _Toc0000000023 \h</w:instrText>
            </w:r>
            <w:r>
              <w:rPr/>
              <w:fldChar w:fldCharType="separate"/>
            </w:r>
            <w:r>
              <w:rPr/>
              <w:t xml:space="preserve">14</w:t>
            </w:r>
            <w:r>
              <w:rPr/>
              <w:fldChar w:fldCharType="end"/>
            </w:r>
          </w:hyperlink>
        </w:p>
        <w:p>
          <w:pPr>
            <w:pStyle w:val="TOC2"/>
            <w:tabs>
              <w:tab w:val="right" w:leader="dot" w:pos="9016"/>
            </w:tabs>
            <w:spacing/>
            <w:rPr/>
          </w:pPr>
          <w:hyperlink w:anchor="_Toc0000000024" w:history="1">
            <w:r>
              <w:rPr>
                <w:rStyle w:val="Hyperlink"/>
              </w:rPr>
              <w:t xml:space="preserve">Dining Spaces</w:t>
            </w:r>
            <w:r>
              <w:rPr/>
              <w:tab/>
              <w:t xml:space="preserve"/>
            </w:r>
            <w:r>
              <w:rPr/>
              <w:fldChar w:fldCharType="begin"/>
            </w:r>
            <w:r>
              <w:rPr/>
              <w:instrText>PAGEREF _Toc0000000024 \h</w:instrText>
            </w:r>
            <w:r>
              <w:rPr/>
              <w:fldChar w:fldCharType="separate"/>
            </w:r>
            <w:r>
              <w:rPr/>
              <w:t xml:space="preserve">14</w:t>
            </w:r>
            <w:r>
              <w:rPr/>
              <w:fldChar w:fldCharType="end"/>
            </w:r>
          </w:hyperlink>
        </w:p>
        <w:p>
          <w:pPr>
            <w:pStyle w:val="TOC2"/>
            <w:tabs>
              <w:tab w:val="right" w:leader="dot" w:pos="9016"/>
            </w:tabs>
            <w:spacing/>
            <w:rPr/>
          </w:pPr>
          <w:hyperlink w:anchor="_Toc0000000025" w:history="1">
            <w:r>
              <w:rPr>
                <w:rStyle w:val="Hyperlink"/>
              </w:rPr>
              <w:t xml:space="preserve">Report Disclaimer</w:t>
            </w:r>
            <w:r>
              <w:rPr/>
              <w:tab/>
              <w:t xml:space="preserve"/>
            </w:r>
            <w:r>
              <w:rPr/>
              <w:fldChar w:fldCharType="begin"/>
            </w:r>
            <w:r>
              <w:rPr/>
              <w:instrText>PAGEREF _Toc0000000025 \h</w:instrText>
            </w:r>
            <w:r>
              <w:rPr/>
              <w:fldChar w:fldCharType="separate"/>
            </w:r>
            <w:r>
              <w:rPr/>
              <w:t xml:space="preserve">19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Maintenance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Guests with a disability are noted in the guest log for emergency evacuation purposes</w:t>
      </w:r>
    </w:p>
    <w:p>
      <w:pPr>
        <w:pBdr/>
        <w:spacing/>
        <w:rPr>
          <w:sz w:val="24"/>
        </w:rPr>
      </w:pPr>
      <w:r>
        <w:rPr>
          <w:sz w:val="24"/>
        </w:rPr>
        <w:t xml:space="preserve">The procedure for assisting guests who need assisted rescue is: The procedure for assisting guests with disabilities who need assisted rescue at Mt Hart Wilderness Lodge includes ensuring their safety, providing necessary medical attention, and coordinating with emergency services while considering their specific accessibility needs.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Hearing loop fitted to the reception area</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Mount Hart Wilderness Lodge has implemented measures to reduce wait times for guests with fatigue-related disabilities, including providing seating, shaded rest areas, and assistance during activities.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5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One single bed</w:t>
      </w:r>
    </w:p>
    <w:p>
      <w:pPr>
        <w:pStyle w:val="ListBullet"/>
        <w:numPr>
          <w:ilvl w:val="0"/>
          <w:numId w:val="37"/>
        </w:numPr>
        <w:spacing/>
        <w:rPr/>
      </w:pPr>
      <w:r>
        <w:rPr/>
        <w:t xml:space="preserve">Two single beds</w:t>
      </w:r>
    </w:p>
    <w:p>
      <w:pPr>
        <w:pStyle w:val="ListBullet"/>
        <w:numPr>
          <w:ilvl w:val="0"/>
          <w:numId w:val="37"/>
        </w:numPr>
        <w:spacing/>
        <w:rPr/>
      </w:pPr>
      <w:r>
        <w:rPr/>
        <w:t xml:space="preserve">Two double/queen</w:t>
      </w:r>
    </w:p>
    <w:p>
      <w:pPr>
        <w:pStyle w:val="ListBullet"/>
        <w:numPr>
          <w:ilvl w:val="0"/>
          <w:numId w:val="37"/>
        </w:numPr>
        <w:spacing/>
        <w:rPr/>
      </w:pPr>
      <w:r>
        <w:rPr/>
        <w:t xml:space="preserve">One double/queen and one single</w:t>
      </w:r>
    </w:p>
    <w:p>
      <w:pPr>
        <w:pStyle w:val="Subtitle"/>
        <w:spacing/>
        <w:rPr/>
      </w:pPr>
      <w:r>
        <w:rPr/>
        <w:t xml:space="preserve">Layout of room 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Mount-Hart-Kimberley-Western-Australia (242)</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Mount-Hart-Kimberley-Western-Australia (272)</w:t>
      </w:r>
    </w:p>
    <w:p>
      <w:pPr>
        <w:spacing/>
        <w:rPr/>
      </w:pPr>
      <w:r>
        <w:rPr/>
        <w:drawing>
          <wp:inline>
            <wp:extent cx="2540000" cy="1689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Mount-Hart-Kimberley-Western-Australia (295)</w:t>
      </w:r>
    </w:p>
    <w:p>
      <w:pPr>
        <w:spacing/>
        <w:rPr/>
      </w:pPr>
      <w:r>
        <w:rPr/>
        <w:t xml:space="preserve"> </w:t>
      </w:r>
    </w:p>
    <w:p>
      <w:pPr>
        <w:pStyle w:val="Heading2"/>
        <w:spacing/>
        <w:rPr/>
      </w:pPr>
      <w:bookmarkStart w:id="24" w:name="_Toc0000000020"/>
      <w:r>
        <w:rPr/>
        <w:t xml:space="preserve">Room Amenities</w:t>
      </w:r>
      <w:bookmarkEnd w:id="24"/>
    </w:p>
    <w:p>
      <w:pPr>
        <w:pBdr/>
        <w:spacing/>
        <w:rPr>
          <w:sz w:val="24"/>
        </w:rPr>
      </w:pPr>
      <w:r>
        <w:rPr>
          <w:sz w:val="24"/>
        </w:rPr>
        <w:t xml:space="preserve">For guests with a hearing impairment, the following emergency evacuation procedures apply to ensure safe evacuation: To accommodate guests with hearing impairments and ensure their safe evacuation, Mount Hart Wilderness Lodge utilizes written emergency instructions in guest rooms and assigns trained staff specific responsibilities.</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Subtitle"/>
        <w:spacing/>
        <w:rPr/>
      </w:pPr>
      <w:r>
        <w:rPr/>
        <w:t xml:space="preserve">Bathroom Image(s)</w:t>
      </w:r>
    </w:p>
    <w:p>
      <w:pPr>
        <w:spacing/>
        <w:rPr/>
      </w:pPr>
      <w:r>
        <w:rPr/>
        <w:drawing>
          <wp:inline>
            <wp:extent cx="20320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032000" cy="2540000"/>
                    </a:xfrm>
                    <a:prstGeom prst="rect">
                      <a:avLst/>
                    </a:prstGeom>
                  </pic:spPr>
                </pic:pic>
              </a:graphicData>
            </a:graphic>
          </wp:inline>
        </w:drawing>
      </w:r>
    </w:p>
    <w:p>
      <w:pPr>
        <w:spacing/>
        <w:rPr/>
      </w:pPr>
      <w:r>
        <w:rPr/>
        <w:t xml:space="preserve">1</w:t>
      </w:r>
    </w:p>
    <w:p>
      <w:pPr>
        <w:spacing/>
        <w:rPr/>
      </w:pPr>
      <w:r>
        <w:rPr/>
        <w:drawing>
          <wp:inline>
            <wp:extent cx="2032000" cy="2540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032000" cy="2540000"/>
                    </a:xfrm>
                    <a:prstGeom prst="rect">
                      <a:avLst/>
                    </a:prstGeom>
                  </pic:spPr>
                </pic:pic>
              </a:graphicData>
            </a:graphic>
          </wp:inline>
        </w:drawing>
      </w:r>
    </w:p>
    <w:p>
      <w:pPr>
        <w:spacing/>
        <w:rPr/>
      </w:pPr>
      <w:r>
        <w:rPr/>
        <w:t xml:space="preserve">2</w:t>
      </w:r>
    </w:p>
    <w:p>
      <w:pPr>
        <w:spacing/>
        <w:rPr/>
      </w:pPr>
      <w:r>
        <w:rPr/>
        <w:drawing>
          <wp:inline>
            <wp:extent cx="2032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032000" cy="2540000"/>
                    </a:xfrm>
                    <a:prstGeom prst="rect">
                      <a:avLst/>
                    </a:prstGeom>
                  </pic:spPr>
                </pic:pic>
              </a:graphicData>
            </a:graphic>
          </wp:inline>
        </w:drawing>
      </w:r>
    </w:p>
    <w:p>
      <w:pPr>
        <w:spacing/>
        <w:rPr/>
      </w:pPr>
      <w:r>
        <w:rPr/>
        <w:t xml:space="preserve">3</w:t>
      </w:r>
    </w:p>
    <w:p>
      <w:pPr>
        <w:spacing/>
        <w:rPr/>
      </w:pPr>
      <w:r>
        <w:rPr/>
        <w:drawing>
          <wp:inline>
            <wp:extent cx="2032000" cy="2540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032000" cy="2540000"/>
                    </a:xfrm>
                    <a:prstGeom prst="rect">
                      <a:avLst/>
                    </a:prstGeom>
                  </pic:spPr>
                </pic:pic>
              </a:graphicData>
            </a:graphic>
          </wp:inline>
        </w:drawing>
      </w:r>
    </w:p>
    <w:p>
      <w:pPr>
        <w:spacing/>
        <w:rPr/>
      </w:pPr>
      <w:r>
        <w:rPr/>
        <w:t xml:space="preserve">4</w:t>
      </w:r>
    </w:p>
    <w:p>
      <w:pPr>
        <w:pStyle w:val="Heading1"/>
        <w:spacing w:line="420" w:lineRule="exact"/>
        <w:rPr/>
      </w:pPr>
      <w:bookmarkStart w:id="26" w:name="_Toc0000000022"/>
      <w:r>
        <w:rPr/>
        <w:t xml:space="preserve">COMMON AREAS</w:t>
      </w:r>
      <w:bookmarkEnd w:id="26"/>
    </w:p>
    <w:p>
      <w:pPr>
        <w:pStyle w:val="Heading1"/>
        <w:spacing w:line="420" w:lineRule="exact"/>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Nut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032000" cy="2540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032000" cy="2540000"/>
                    </a:xfrm>
                    <a:prstGeom prst="rect">
                      <a:avLst/>
                    </a:prstGeom>
                  </pic:spPr>
                </pic:pic>
              </a:graphicData>
            </a:graphic>
          </wp:inline>
        </w:drawing>
      </w:r>
    </w:p>
    <w:p>
      <w:pPr>
        <w:spacing/>
        <w:rPr/>
      </w:pPr>
      <w:r>
        <w:rPr/>
        <w:t xml:space="preserve">1</w:t>
      </w:r>
    </w:p>
    <w:p>
      <w:pPr>
        <w:spacing/>
        <w:rPr/>
      </w:pPr>
      <w:r>
        <w:rPr/>
        <w:drawing>
          <wp:inline>
            <wp:extent cx="20320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032000" cy="2540000"/>
                    </a:xfrm>
                    <a:prstGeom prst="rect">
                      <a:avLst/>
                    </a:prstGeom>
                  </pic:spPr>
                </pic:pic>
              </a:graphicData>
            </a:graphic>
          </wp:inline>
        </w:drawing>
      </w:r>
    </w:p>
    <w:p>
      <w:pPr>
        <w:spacing/>
        <w:rPr/>
      </w:pPr>
      <w:r>
        <w:rPr/>
        <w:t xml:space="preserve">2</w:t>
      </w:r>
    </w:p>
    <w:p>
      <w:pPr>
        <w:spacing/>
        <w:rPr/>
      </w:pPr>
      <w:r>
        <w:rPr/>
        <w:drawing>
          <wp:inline>
            <wp:extent cx="2032000" cy="2540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032000" cy="2540000"/>
                    </a:xfrm>
                    <a:prstGeom prst="rect">
                      <a:avLst/>
                    </a:prstGeom>
                  </pic:spPr>
                </pic:pic>
              </a:graphicData>
            </a:graphic>
          </wp:inline>
        </w:drawing>
      </w:r>
    </w:p>
    <w:p>
      <w:pPr>
        <w:spacing/>
        <w:rPr/>
      </w:pPr>
      <w:r>
        <w:rPr/>
        <w:t xml:space="preserve">3</w:t>
      </w:r>
    </w:p>
    <w:p>
      <w:pPr>
        <w:spacing/>
        <w:rPr/>
      </w:pPr>
      <w:r>
        <w:rPr/>
        <w:drawing>
          <wp:inline>
            <wp:extent cx="2032000" cy="2540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032000" cy="2540000"/>
                    </a:xfrm>
                    <a:prstGeom prst="rect">
                      <a:avLst/>
                    </a:prstGeom>
                  </pic:spPr>
                </pic:pic>
              </a:graphicData>
            </a:graphic>
          </wp:inline>
        </w:drawing>
      </w:r>
    </w:p>
    <w:p>
      <w:pPr>
        <w:spacing/>
        <w:rPr/>
      </w:pPr>
      <w:r>
        <w:rPr/>
        <w:t xml:space="preserve">4</w:t>
      </w:r>
    </w:p>
    <w:p>
      <w:pPr>
        <w:spacing/>
        <w:rPr/>
      </w:pPr>
      <w:r>
        <w:rPr/>
        <w:drawing>
          <wp:inline>
            <wp:extent cx="2032000" cy="2540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032000" cy="2540000"/>
                    </a:xfrm>
                    <a:prstGeom prst="rect">
                      <a:avLst/>
                    </a:prstGeom>
                  </pic:spPr>
                </pic:pic>
              </a:graphicData>
            </a:graphic>
          </wp:inline>
        </w:drawing>
      </w:r>
    </w:p>
    <w:p>
      <w:pPr>
        <w:spacing/>
        <w:rPr/>
      </w:pPr>
      <w:r>
        <w:rPr/>
        <w:t xml:space="preserve">5</w:t>
      </w:r>
    </w:p>
    <w:p>
      <w:pPr>
        <w:spacing/>
        <w:rPr/>
      </w:pPr>
      <w:r>
        <w:rPr/>
        <w:drawing>
          <wp:inline>
            <wp:extent cx="2032000" cy="2540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032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6</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9" w:name="_Toc0000000025"/>
      <w:r>
        <w:rPr/>
        <w:t xml:space="preserve">Report Disclaimer</w:t>
      </w:r>
      <w:bookmarkEnd w:id="29"/>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4" name="Picture 5"/>
              <a:graphic>
                <a:graphicData uri="http://schemas.openxmlformats.org/drawingml/2006/picture">
                  <pic:pic>
                    <pic:nvPicPr>
                      <pic:cNvPr id="0" name="" descr=""/>
                      <pic:cNvPicPr>
                        <a:picLocks noChangeAspect="1" noChangeArrowheads="1"/>
                      </pic:cNvPicPr>
                    </pic:nvPicPr>
                    <pic:blipFill>
                      <a:blip r:embed="rId40"/>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1" Type="http://schemas.openxmlformats.org/officeDocument/2006/relationships/styles" Target="styles.xml" /><Relationship Id="rId42" Type="http://schemas.openxmlformats.org/officeDocument/2006/relationships/settings" Target="settings.xml" /><Relationship Id="rId43" Type="http://schemas.openxmlformats.org/officeDocument/2006/relationships/theme" Target="theme/theme1.xml" /><Relationship Id="rId44" Type="http://schemas.openxmlformats.org/officeDocument/2006/relationships/numbering" Target="numbering.xml" /><Relationship Id="rId1" Type="http://schemas.openxmlformats.org/officeDocument/2006/relationships/footer" Target="footer1.xml" /><Relationship Id="rId45" Type="http://schemas.openxmlformats.org/officeDocument/2006/relationships/fontTable" Target="fontTable.xml" /><Relationship Id="rId27" Type="http://schemas.openxmlformats.org/officeDocument/2006/relationships/image" Target="media/image3.jpeg" /><Relationship Id="rId28" Type="http://schemas.openxmlformats.org/officeDocument/2006/relationships/image" Target="media/image4.jpeg" /><Relationship Id="rId29" Type="http://schemas.openxmlformats.org/officeDocument/2006/relationships/image" Target="media/image5.jpeg" /><Relationship Id="rId30" Type="http://schemas.openxmlformats.org/officeDocument/2006/relationships/image" Target="media/image6.jpeg" /><Relationship Id="rId31" Type="http://schemas.openxmlformats.org/officeDocument/2006/relationships/image" Target="media/image7.jpeg" /><Relationship Id="rId32" Type="http://schemas.openxmlformats.org/officeDocument/2006/relationships/image" Target="media/image8.jpeg" /><Relationship Id="rId33" Type="http://schemas.openxmlformats.org/officeDocument/2006/relationships/image" Target="media/image9.jpeg" /><Relationship Id="rId34" Type="http://schemas.openxmlformats.org/officeDocument/2006/relationships/image" Target="media/image10.jpeg" /><Relationship Id="rId35" Type="http://schemas.openxmlformats.org/officeDocument/2006/relationships/image" Target="media/image11.jpeg" /><Relationship Id="rId36" Type="http://schemas.openxmlformats.org/officeDocument/2006/relationships/image" Target="media/image12.jpeg" /><Relationship Id="rId37" Type="http://schemas.openxmlformats.org/officeDocument/2006/relationships/image" Target="media/image13.jpeg" /><Relationship Id="rId38" Type="http://schemas.openxmlformats.org/officeDocument/2006/relationships/image" Target="media/image14.jpeg" /><Relationship Id="rId39" Type="http://schemas.openxmlformats.org/officeDocument/2006/relationships/image" Target="media/image15.jpeg" /><Relationship Id="rId46" Type="http://schemas.openxmlformats.org/officeDocument/2006/relationships/customXml" Target="../customXml/item1.xml" /><Relationship Id="rId47" Type="http://schemas.openxmlformats.org/officeDocument/2006/relationships/customXml" Target="../customXml/item2.xml" /><Relationship Id="rId48" Type="http://schemas.openxmlformats.org/officeDocument/2006/relationships/customXml" Target="../customXml/item3.xml" /><Relationship Id="rId49"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0"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