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Uluru-Kata Tjuta National Park</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Park Headquarters</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ULURU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Erin Brown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08 8956 1128</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uluru.info@dcceew.gov.au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https://parksaustralia.gov.au/uluru/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2026-07-15 16:17</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1"/>
            <w:tabs>
              <w:tab w:val="right" w:leader="dot" w:pos="9016"/>
            </w:tabs>
            <w:spacing/>
            <w:rPr/>
          </w:pPr>
          <w:hyperlink w:anchor="_Toc0000000007" w:history="1">
            <w:r>
              <w:rPr>
                <w:rStyle w:val="Hyperlink"/>
              </w:rPr>
              <w:t xml:space="preserve">GENERAL</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2"/>
            <w:tabs>
              <w:tab w:val="right" w:leader="dot" w:pos="9016"/>
            </w:tabs>
            <w:spacing/>
            <w:rPr/>
          </w:pPr>
          <w:hyperlink w:anchor="_Toc0000000008" w:history="1">
            <w:r>
              <w:rPr>
                <w:rStyle w:val="Hyperlink"/>
              </w:rPr>
              <w:t xml:space="preserve">Pre-arrival, arrival and reception</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Cognitive Impairment Support</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Car Park and Access amenities</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Entry</w:t>
            </w:r>
            <w:r>
              <w:rPr/>
              <w:tab/>
              <w:t xml:space="preserve"/>
            </w:r>
            <w:r>
              <w:rPr/>
              <w:fldChar w:fldCharType="begin"/>
            </w:r>
            <w:r>
              <w:rPr/>
              <w:instrText>PAGEREF _Toc0000000011 \h</w:instrText>
            </w:r>
            <w:r>
              <w:rPr/>
              <w:fldChar w:fldCharType="separate"/>
            </w:r>
            <w:r>
              <w:rPr/>
              <w:t xml:space="preserve">7</w:t>
            </w:r>
            <w:r>
              <w:rPr/>
              <w:fldChar w:fldCharType="end"/>
            </w:r>
          </w:hyperlink>
        </w:p>
        <w:p>
          <w:pPr>
            <w:pStyle w:val="TOC2"/>
            <w:tabs>
              <w:tab w:val="right" w:leader="dot" w:pos="9016"/>
            </w:tabs>
            <w:spacing/>
            <w:rPr/>
          </w:pPr>
          <w:hyperlink w:anchor="_Toc0000000012" w:history="1">
            <w:r>
              <w:rPr>
                <w:rStyle w:val="Hyperlink"/>
              </w:rPr>
              <w:t xml:space="preserve">Internal Spaces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Public areas</w:t>
            </w:r>
            <w:r>
              <w:rPr/>
              <w:tab/>
              <w:t xml:space="preserve"/>
            </w:r>
            <w:r>
              <w:rPr/>
              <w:fldChar w:fldCharType="begin"/>
            </w:r>
            <w:r>
              <w:rPr/>
              <w:instrText>PAGEREF _Toc0000000013 \h</w:instrText>
            </w:r>
            <w:r>
              <w:rPr/>
              <w:fldChar w:fldCharType="separate"/>
            </w:r>
            <w:r>
              <w:rPr/>
              <w:t xml:space="preserve">8</w:t>
            </w:r>
            <w:r>
              <w:rPr/>
              <w:fldChar w:fldCharType="end"/>
            </w:r>
          </w:hyperlink>
        </w:p>
        <w:p>
          <w:pPr>
            <w:pStyle w:val="TOC2"/>
            <w:tabs>
              <w:tab w:val="right" w:leader="dot" w:pos="9016"/>
            </w:tabs>
            <w:spacing/>
            <w:rPr/>
          </w:pPr>
          <w:hyperlink w:anchor="_Toc0000000014" w:history="1">
            <w:r>
              <w:rPr>
                <w:rStyle w:val="Hyperlink"/>
              </w:rPr>
              <w:t xml:space="preserve">Displays, exhibits, commentary and live performances</w:t>
            </w:r>
            <w:r>
              <w:rPr/>
              <w:tab/>
              <w:t xml:space="preserve"/>
            </w:r>
            <w:r>
              <w:rPr/>
              <w:fldChar w:fldCharType="begin"/>
            </w:r>
            <w:r>
              <w:rPr/>
              <w:instrText>PAGEREF _Toc0000000014 \h</w:instrText>
            </w:r>
            <w:r>
              <w:rPr/>
              <w:fldChar w:fldCharType="separate"/>
            </w:r>
            <w:r>
              <w:rPr/>
              <w:t xml:space="preserve">8</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Ramps</w:t>
            </w:r>
            <w:r>
              <w:rPr/>
              <w:tab/>
              <w:t xml:space="preserve"/>
            </w:r>
            <w:r>
              <w:rPr/>
              <w:fldChar w:fldCharType="begin"/>
            </w:r>
            <w:r>
              <w:rPr/>
              <w:instrText>PAGEREF _Toc0000000016 \h</w:instrText>
            </w:r>
            <w:r>
              <w:rPr/>
              <w:fldChar w:fldCharType="separate"/>
            </w:r>
            <w:r>
              <w:rPr/>
              <w:t xml:space="preserve">9</w:t>
            </w:r>
            <w:r>
              <w:rPr/>
              <w:fldChar w:fldCharType="end"/>
            </w:r>
          </w:hyperlink>
        </w:p>
        <w:p>
          <w:pPr>
            <w:pStyle w:val="TOC2"/>
            <w:tabs>
              <w:tab w:val="right" w:leader="dot" w:pos="9016"/>
            </w:tabs>
            <w:spacing/>
            <w:rPr/>
          </w:pPr>
          <w:hyperlink w:anchor="_Toc0000000017" w:history="1">
            <w:r>
              <w:rPr>
                <w:rStyle w:val="Hyperlink"/>
              </w:rPr>
              <w:t xml:space="preserve">Public Toilets/Adult change facilities</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1"/>
            <w:tabs>
              <w:tab w:val="right" w:leader="dot" w:pos="9016"/>
            </w:tabs>
            <w:spacing/>
            <w:rPr/>
          </w:pPr>
          <w:hyperlink w:anchor="_Toc0000000018" w:history="1">
            <w:r>
              <w:rPr>
                <w:rStyle w:val="Hyperlink"/>
              </w:rPr>
              <w:t xml:space="preserve">ATTRACTIONS</w:t>
            </w:r>
            <w:r>
              <w:rPr/>
              <w:tab/>
              <w:t xml:space="preserve"/>
            </w:r>
            <w:r>
              <w:rPr/>
              <w:fldChar w:fldCharType="begin"/>
            </w:r>
            <w:r>
              <w:rPr/>
              <w:instrText>PAGEREF _Toc0000000018 \h</w:instrText>
            </w:r>
            <w:r>
              <w:rPr/>
              <w:fldChar w:fldCharType="separate"/>
            </w:r>
            <w:r>
              <w:rPr/>
              <w:t xml:space="preserve">10</w:t>
            </w:r>
            <w:r>
              <w:rPr/>
              <w:fldChar w:fldCharType="end"/>
            </w:r>
          </w:hyperlink>
        </w:p>
        <w:p>
          <w:pPr>
            <w:pStyle w:val="TOC2"/>
            <w:tabs>
              <w:tab w:val="right" w:leader="dot" w:pos="9016"/>
            </w:tabs>
            <w:spacing/>
            <w:rPr/>
          </w:pPr>
          <w:hyperlink w:anchor="_Toc0000000019" w:history="1">
            <w:r>
              <w:rPr>
                <w:rStyle w:val="Hyperlink"/>
              </w:rPr>
              <w:t xml:space="preserve">Attractions Basics</w:t>
            </w:r>
            <w:r>
              <w:rPr/>
              <w:tab/>
              <w:t xml:space="preserve"/>
            </w:r>
            <w:r>
              <w:rPr/>
              <w:fldChar w:fldCharType="begin"/>
            </w:r>
            <w:r>
              <w:rPr/>
              <w:instrText>PAGEREF _Toc0000000019 \h</w:instrText>
            </w:r>
            <w:r>
              <w:rPr/>
              <w:fldChar w:fldCharType="separate"/>
            </w:r>
            <w:r>
              <w:rPr/>
              <w:t xml:space="preserve">10</w:t>
            </w:r>
            <w:r>
              <w:rPr/>
              <w:fldChar w:fldCharType="end"/>
            </w:r>
          </w:hyperlink>
        </w:p>
        <w:p>
          <w:pPr>
            <w:pStyle w:val="TOC2"/>
            <w:tabs>
              <w:tab w:val="right" w:leader="dot" w:pos="9016"/>
            </w:tabs>
            <w:spacing/>
            <w:rPr/>
          </w:pPr>
          <w:hyperlink w:anchor="_Toc0000000020" w:history="1">
            <w:r>
              <w:rPr>
                <w:rStyle w:val="Hyperlink"/>
              </w:rPr>
              <w:t xml:space="preserve">Zoos and Wildlife Parks</w:t>
            </w:r>
            <w:r>
              <w:rPr/>
              <w:tab/>
              <w:t xml:space="preserve"/>
            </w:r>
            <w:r>
              <w:rPr/>
              <w:fldChar w:fldCharType="begin"/>
            </w:r>
            <w:r>
              <w:rPr/>
              <w:instrText>PAGEREF _Toc0000000020 \h</w:instrText>
            </w:r>
            <w:r>
              <w:rPr/>
              <w:fldChar w:fldCharType="separate"/>
            </w:r>
            <w:r>
              <w:rPr/>
              <w:t xml:space="preserve">10</w:t>
            </w:r>
            <w:r>
              <w:rPr/>
              <w:fldChar w:fldCharType="end"/>
            </w:r>
          </w:hyperlink>
        </w:p>
        <w:p>
          <w:pPr>
            <w:pStyle w:val="TOC1"/>
            <w:tabs>
              <w:tab w:val="right" w:leader="dot" w:pos="9016"/>
            </w:tabs>
            <w:spacing/>
            <w:rPr/>
          </w:pPr>
          <w:hyperlink w:anchor="_Toc0000000021" w:history="1">
            <w:r>
              <w:rPr>
                <w:rStyle w:val="Hyperlink"/>
              </w:rPr>
              <w:t xml:space="preserve">COMMON AREAS</w:t>
            </w:r>
            <w:r>
              <w:rPr/>
              <w:tab/>
              <w:t xml:space="preserve"/>
            </w:r>
            <w:r>
              <w:rPr/>
              <w:fldChar w:fldCharType="begin"/>
            </w:r>
            <w:r>
              <w:rPr/>
              <w:instrText>PAGEREF _Toc0000000021 \h</w:instrText>
            </w:r>
            <w:r>
              <w:rPr/>
              <w:fldChar w:fldCharType="separate"/>
            </w:r>
            <w:r>
              <w:rPr/>
              <w:t xml:space="preserve">12</w:t>
            </w:r>
            <w:r>
              <w:rPr/>
              <w:fldChar w:fldCharType="end"/>
            </w:r>
          </w:hyperlink>
        </w:p>
        <w:p>
          <w:pPr>
            <w:pStyle w:val="TOC2"/>
            <w:tabs>
              <w:tab w:val="right" w:leader="dot" w:pos="9016"/>
            </w:tabs>
            <w:spacing/>
            <w:rPr/>
          </w:pPr>
          <w:hyperlink w:anchor="_Toc0000000022" w:history="1">
            <w:r>
              <w:rPr>
                <w:rStyle w:val="Hyperlink"/>
              </w:rPr>
              <w:t xml:space="preserve">Parks and gardens</w:t>
            </w:r>
            <w:r>
              <w:rPr/>
              <w:tab/>
              <w:t xml:space="preserve"/>
            </w:r>
            <w:r>
              <w:rPr/>
              <w:fldChar w:fldCharType="begin"/>
            </w:r>
            <w:r>
              <w:rPr/>
              <w:instrText>PAGEREF _Toc0000000022 \h</w:instrText>
            </w:r>
            <w:r>
              <w:rPr/>
              <w:fldChar w:fldCharType="separate"/>
            </w:r>
            <w:r>
              <w:rPr/>
              <w:t xml:space="preserve">12</w:t>
            </w:r>
            <w:r>
              <w:rPr/>
              <w:fldChar w:fldCharType="end"/>
            </w:r>
          </w:hyperlink>
        </w:p>
        <w:p>
          <w:pPr>
            <w:pStyle w:val="TOC2"/>
            <w:tabs>
              <w:tab w:val="right" w:leader="dot" w:pos="9016"/>
            </w:tabs>
            <w:spacing/>
            <w:rPr/>
          </w:pPr>
          <w:hyperlink w:anchor="_Toc0000000023" w:history="1">
            <w:r>
              <w:rPr>
                <w:rStyle w:val="Hyperlink"/>
              </w:rPr>
              <w:t xml:space="preserve">Report Disclaimer</w:t>
            </w:r>
            <w:r>
              <w:rPr/>
              <w:tab/>
              <w:t xml:space="preserve"/>
            </w:r>
            <w:r>
              <w:rPr/>
              <w:fldChar w:fldCharType="begin"/>
            </w:r>
            <w:r>
              <w:rPr/>
              <w:instrText>PAGEREF _Toc0000000023 \h</w:instrText>
            </w:r>
            <w:r>
              <w:rPr/>
              <w:fldChar w:fldCharType="separate"/>
            </w:r>
            <w:r>
              <w:rPr/>
              <w:t xml:space="preserve">14</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Attraction</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 business has an emergency management and evacuation plan for guests with a disability</w:t>
      </w:r>
    </w:p>
    <w:p>
      <w:pPr>
        <w:pStyle w:val="ListBullet"/>
        <w:numPr>
          <w:ilvl w:val="0"/>
          <w:numId w:val="37"/>
        </w:numPr>
        <w:spacing/>
        <w:rPr/>
      </w:pPr>
      <w:r>
        <w:rPr/>
        <w:t xml:space="preserve">Emergency and evacuation procedures are explained on arrival</w:t>
      </w:r>
    </w:p>
    <w:p>
      <w:pPr>
        <w:pBdr/>
        <w:spacing/>
        <w:rPr>
          <w:sz w:val="24"/>
        </w:rPr>
      </w:pPr>
      <w:r>
        <w:rPr>
          <w:sz w:val="24"/>
        </w:rPr>
        <w:t xml:space="preserve">We ensure exit access is free and clear at all times by: Nothing is left in front of doorways and there are no displays near doorways at the Cultural Centre to prevent crowding. There are also no boom gates restricting exit access from the park itself. </w:t>
      </w:r>
    </w:p>
    <w:p>
      <w:pPr>
        <w:pStyle w:val="ListBullet"/>
        <w:numPr>
          <w:ilvl w:val="0"/>
          <w:numId w:val="37"/>
        </w:numPr>
        <w:spacing/>
        <w:rPr/>
      </w:pPr>
      <w:r>
        <w:rPr/>
        <w:t xml:space="preserve">There is an emergency refuge that has an intercommunication system linked and has sufficient fire resistance levels.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25" w:history="1">
        <w:r>
          <w:rPr>
            <w:rStyle w:val="Hyperlink"/>
            <w:sz w:val="24"/>
          </w:rPr>
          <w:t xml:space="preserve">https://accreditation.qualitytourismaustralia.com/report/AccessReportPublicHtml2/27c220d2-39a9-ee11-b423-6045bd3f338d</w:t>
        </w:r>
      </w:hyperlink>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Bdr/>
        <w:spacing/>
        <w:rPr>
          <w:sz w:val="24"/>
        </w:rPr>
      </w:pPr>
      <w:r>
        <w:rPr>
          <w:sz w:val="24"/>
        </w:rPr>
        <w:t xml:space="preserve">There is 1 braille display located at the Cultural Centre. </w:t>
      </w:r>
    </w:p>
    <w:p>
      <w:pPr>
        <w:pStyle w:val="ListBullet"/>
        <w:numPr>
          <w:ilvl w:val="0"/>
          <w:numId w:val="37"/>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Style w:val="ListBullet"/>
        <w:numPr>
          <w:ilvl w:val="0"/>
          <w:numId w:val="37"/>
        </w:numPr>
        <w:spacing/>
        <w:rPr/>
      </w:pPr>
      <w:r>
        <w:rPr/>
        <w:t xml:space="preserve">The business accepts the companion card</w:t>
      </w:r>
    </w:p>
    <w:p>
      <w:pPr>
        <w:pBdr/>
        <w:spacing/>
        <w:rPr>
          <w:sz w:val="24"/>
        </w:rPr>
      </w:pPr>
      <w:r>
        <w:rPr>
          <w:sz w:val="24"/>
        </w:rPr>
        <w:t xml:space="preserve">The business provides the following services for services animals: We allow service animals to enter the park if the owners can provide official certification. Service dogs will be issued with a yellow tag at the entry station, to be worn on their collar, so all staff know they are permitted. </w:t>
      </w:r>
    </w:p>
    <w:p>
      <w:pPr>
        <w:pStyle w:val="Heading1"/>
        <w:spacing w:line="420" w:lineRule="exact"/>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Picture Board at reception to aid in communication</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Large print information sheets and registration forms</w:t>
      </w:r>
    </w:p>
    <w:p>
      <w:pPr>
        <w:pBdr/>
        <w:spacing/>
        <w:rPr>
          <w:sz w:val="24"/>
        </w:rPr>
      </w:pPr>
      <w:r>
        <w:rPr>
          <w:sz w:val="24"/>
        </w:rPr>
        <w:t xml:space="preserve">Visitors pull up their vehicle to the booth at the park Entry Station, and are not required to leave their vehicle to purchase tickets. There is a microphone and speakers equipped to enable guests to hear staff.</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step free map/guide</w:t>
      </w:r>
    </w:p>
    <w:p>
      <w:pPr>
        <w:pStyle w:val="ListBullet"/>
        <w:numPr>
          <w:ilvl w:val="0"/>
          <w:numId w:val="37"/>
        </w:numPr>
        <w:spacing/>
        <w:rPr/>
      </w:pPr>
      <w:r>
        <w:rPr/>
        <w:t xml:space="preserve">A familiarisation tour</w:t>
      </w:r>
    </w:p>
    <w:p>
      <w:pPr>
        <w:pBdr/>
        <w:spacing/>
        <w:rPr>
          <w:sz w:val="24"/>
        </w:rPr>
      </w:pPr>
      <w:r>
        <w:rPr>
          <w:sz w:val="24"/>
        </w:rPr>
        <w:t xml:space="preserve">The following steps are in place to ensure that people with fatigue related to their disability are not disadvantaged by long wait times: As guests are not required to leave their vehicle to purchase tickets, if there is a queue they can wait in the comfort of their own car. </w:t>
      </w:r>
    </w:p>
    <w:p>
      <w:pPr>
        <w:pStyle w:val="ListBullet"/>
        <w:numPr>
          <w:ilvl w:val="0"/>
          <w:numId w:val="37"/>
        </w:numPr>
        <w:spacing/>
        <w:rPr/>
      </w:pPr>
      <w:r>
        <w:rPr/>
        <w:t xml:space="preserve">In addition, the following further information can assist guests:</w:t>
      </w:r>
    </w:p>
    <w:p>
      <w:pPr>
        <w:spacing/>
        <w:rPr/>
      </w:pPr>
      <w:r>
        <w:rPr/>
        <w:t xml:space="preserve">Staff at the entry station will provide guests with a quick familiarisation tour of the park using the map. If guests have follow-up questions they are advised to visit the Cultural Centre for further guidance. </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The public transport services available are:</w:t>
      </w:r>
    </w:p>
    <w:p>
      <w:pPr>
        <w:pBdr/>
        <w:spacing/>
        <w:rPr>
          <w:sz w:val="24"/>
        </w:rPr>
      </w:pPr>
      <w:r>
        <w:rPr>
          <w:sz w:val="24"/>
        </w:rPr>
        <w:t xml:space="preserve">The park itself is only accessible via private vehicle or tour bus (not public transport). There are separate car and bus car parks at the Cultural Centre. The maps at the Cultural Centre along with the staff, will point guests in the direction of the bus car park for pick up. </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pStyle w:val="ListBullet"/>
        <w:numPr>
          <w:ilvl w:val="0"/>
          <w:numId w:val="37"/>
        </w:numPr>
        <w:spacing/>
        <w:rPr/>
      </w:pPr>
      <w:r>
        <w:rPr/>
        <w:t xml:space="preserve">In addition, the following further information can assist guests:</w:t>
      </w:r>
    </w:p>
    <w:p>
      <w:pPr>
        <w:spacing/>
        <w:rPr/>
      </w:pPr>
      <w:r>
        <w:rPr/>
        <w:t xml:space="preserve">Access to the Cultural Centre is even but not paved - it is compacted dirt. </w:t>
      </w:r>
    </w:p>
    <w:p>
      <w:pPr>
        <w:pBdr/>
        <w:spacing/>
        <w:rPr/>
      </w:pPr>
      <w:r>
        <w:rPr/>
        <w:t xml:space="preserve">Whilst the entrance doors to the Cultural Centre are not self-opening, they are always left open, with a width of approx.1500mm. </w:t>
      </w:r>
    </w:p>
    <w:p>
      <w:pPr>
        <w:pStyle w:val="ListBullet"/>
        <w:numPr>
          <w:ilvl w:val="0"/>
          <w:numId w:val="37"/>
        </w:numPr>
        <w:spacing/>
        <w:rPr/>
      </w:pPr>
      <w:r>
        <w:rPr/>
        <w:t xml:space="preserve">In addition, the following further information can assist guests:</w:t>
      </w:r>
    </w:p>
    <w:p>
      <w:pPr>
        <w:spacing/>
        <w:rPr/>
      </w:pPr>
      <w:r>
        <w:rPr/>
        <w:t xml:space="preserve">There are no steps at the Cultural Centre and a lift is not required. </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In addition, the following further information can assist guests:</w:t>
      </w:r>
    </w:p>
    <w:p>
      <w:pPr>
        <w:spacing/>
        <w:rPr/>
      </w:pPr>
      <w:r>
        <w:rPr/>
        <w:t xml:space="preserve">The Cultural Centre is made from natural materials to blend into the surrounding environment. </w:t>
      </w:r>
    </w:p>
    <w:p>
      <w:pPr>
        <w:pBdr/>
        <w:spacing/>
        <w:rPr/>
      </w:pPr>
      <w:r>
        <w:rPr/>
        <w:t xml:space="preserve">The walkways are wide and there is adequate seating inside. The floor surfaces are concrete. </w:t>
      </w:r>
    </w:p>
    <w:p>
      <w:pPr>
        <w:pBdr/>
        <w:spacing/>
        <w:rPr/>
      </w:pPr>
      <w:r>
        <w:rPr/>
        <w:t xml:space="preserve">There are accessible toilets located at the entrance and exit to the Cultural Centre. </w:t>
      </w:r>
    </w:p>
    <w:p>
      <w:pPr>
        <w:pBdr/>
        <w:spacing/>
        <w:rPr/>
      </w:pPr>
      <w:r>
        <w:rPr/>
        <w:t xml:space="preserve">Whilst there is not a quiet space provided for people on the Autism spectrum, the Cultural Centre is designed to be a quiet place where guides are not allowed to conduct tours. We recommend visiting early in the morning or later afternoon to avoid the crowds. </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pStyle w:val="ListBullet"/>
        <w:numPr>
          <w:ilvl w:val="0"/>
          <w:numId w:val="37"/>
        </w:numPr>
        <w:spacing/>
        <w:rPr/>
      </w:pPr>
      <w:r>
        <w:rPr/>
        <w:t xml:space="preserve">In addition, the following further information can assist guests:</w:t>
      </w:r>
    </w:p>
    <w:p>
      <w:pPr>
        <w:spacing/>
        <w:rPr/>
      </w:pPr>
      <w:r>
        <w:rPr/>
        <w:t xml:space="preserve">There are 2 movie rooms at the Cultural Centre with seating provided. </w:t>
      </w:r>
    </w:p>
    <w:p>
      <w:pPr>
        <w:spacing/>
        <w:rPr/>
      </w:pPr>
      <w:r>
        <w:rPr/>
        <w:t xml:space="preserve"> </w:t>
      </w:r>
    </w:p>
    <w:p>
      <w:pPr>
        <w:pStyle w:val="Heading2"/>
        <w:spacing/>
        <w:rPr/>
      </w:pPr>
      <w:bookmarkStart w:id="18" w:name="_Toc0000000014"/>
      <w:r>
        <w:rPr/>
        <w:t xml:space="preserve">Displays, exhibits, commentary and live performances</w:t>
      </w:r>
      <w:bookmarkEnd w:id="18"/>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pStyle w:val="ListBullet"/>
        <w:numPr>
          <w:ilvl w:val="0"/>
          <w:numId w:val="37"/>
        </w:numPr>
        <w:spacing/>
        <w:rPr/>
      </w:pPr>
      <w:r>
        <w:rPr/>
        <w:t xml:space="preserve">In addition, the following further information can assist guests:</w:t>
      </w:r>
    </w:p>
    <w:p>
      <w:pPr>
        <w:spacing/>
        <w:rPr/>
      </w:pPr>
      <w:r>
        <w:rPr/>
        <w:t xml:space="preserve">We hold a Cultural Centre presentation at 11.30am from Monday to Friday. </w:t>
      </w:r>
    </w:p>
    <w:p>
      <w:pPr>
        <w:pBdr/>
        <w:spacing/>
        <w:rPr/>
      </w:pPr>
      <w:r>
        <w:rPr/>
        <w:t xml:space="preserve">Seating is provided whether this is held indoors or outdoors, however our staff do not use microphones, so it can be difficult to hear at times. </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Paths or slopes longer than 15 metres have resting places or seats</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Bdr/>
        <w:spacing/>
        <w:rPr>
          <w:sz w:val="24"/>
        </w:rPr>
      </w:pPr>
      <w:r>
        <w:rPr>
          <w:sz w:val="24"/>
        </w:rPr>
        <w:t xml:space="preserve">Most of the area in the national park are flat</w:t>
      </w:r>
    </w:p>
    <w:p>
      <w:pPr>
        <w:pStyle w:val="ListBullet"/>
        <w:numPr>
          <w:ilvl w:val="0"/>
          <w:numId w:val="37"/>
        </w:numPr>
        <w:spacing/>
        <w:rPr/>
      </w:pPr>
      <w:r>
        <w:rPr/>
        <w:t xml:space="preserve">In addition, the following further information can assist guests:</w:t>
      </w:r>
    </w:p>
    <w:p>
      <w:pPr>
        <w:spacing/>
        <w:rPr/>
      </w:pPr>
      <w:r>
        <w:rPr/>
        <w:t xml:space="preserve">All the external paths around the Cultural Centre are level, but composed of packed dirt. </w:t>
      </w:r>
    </w:p>
    <w:p>
      <w:pPr>
        <w:pStyle w:val="ListBullet"/>
        <w:numPr>
          <w:ilvl w:val="0"/>
          <w:numId w:val="37"/>
        </w:numPr>
        <w:spacing/>
        <w:rPr/>
      </w:pPr>
      <w:r>
        <w:rPr/>
        <w:t xml:space="preserve">In addition, the following further information can assist guests:</w:t>
      </w:r>
    </w:p>
    <w:p>
      <w:pPr>
        <w:spacing/>
        <w:rPr/>
      </w:pPr>
      <w:r>
        <w:rPr/>
        <w:t xml:space="preserve">There are no steps at the Cultural Centre. </w:t>
      </w:r>
    </w:p>
    <w:p>
      <w:pPr>
        <w:spacing/>
        <w:rPr/>
      </w:pPr>
      <w:r>
        <w:rPr/>
        <w:t xml:space="preserve"> </w:t>
      </w:r>
    </w:p>
    <w:p>
      <w:pPr>
        <w:pStyle w:val="Heading2"/>
        <w:spacing/>
        <w:rPr/>
      </w:pPr>
      <w:bookmarkStart w:id="20" w:name="_Toc0000000016"/>
      <w:r>
        <w:rPr/>
        <w:t xml:space="preserve">Ramps</w:t>
      </w:r>
      <w:bookmarkEnd w:id="20"/>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Hand rails are fitted</w:t>
      </w:r>
    </w:p>
    <w:p>
      <w:pPr>
        <w:pStyle w:val="ListBullet"/>
        <w:numPr>
          <w:ilvl w:val="0"/>
          <w:numId w:val="37"/>
        </w:numPr>
        <w:spacing/>
        <w:rPr/>
      </w:pPr>
      <w:r>
        <w:rPr/>
        <w:t xml:space="preserve">Long ramps (more than 10m) are 1:20 or less</w:t>
      </w:r>
    </w:p>
    <w:p>
      <w:pPr>
        <w:pStyle w:val="ListBullet"/>
        <w:numPr>
          <w:ilvl w:val="0"/>
          <w:numId w:val="37"/>
        </w:numPr>
        <w:spacing/>
        <w:rPr/>
      </w:pPr>
      <w:r>
        <w:rPr/>
        <w:t xml:space="preserve">Temporary ramps are available</w:t>
      </w:r>
    </w:p>
    <w:p>
      <w:pPr>
        <w:pStyle w:val="ListBullet"/>
        <w:numPr>
          <w:ilvl w:val="0"/>
          <w:numId w:val="37"/>
        </w:numPr>
        <w:spacing/>
        <w:rPr/>
      </w:pPr>
      <w:r>
        <w:rPr/>
        <w:t xml:space="preserve">Temporary ramps are in place for the duration of the guests stay</w:t>
      </w:r>
    </w:p>
    <w:p>
      <w:pPr>
        <w:pStyle w:val="ListBullet"/>
        <w:numPr>
          <w:ilvl w:val="0"/>
          <w:numId w:val="37"/>
        </w:numPr>
        <w:spacing/>
        <w:rPr/>
      </w:pPr>
      <w:r>
        <w:rPr/>
        <w:t xml:space="preserve">Ramps have a raised edge of at least 100mm</w:t>
      </w:r>
    </w:p>
    <w:p>
      <w:pPr>
        <w:pStyle w:val="ListBullet"/>
        <w:numPr>
          <w:ilvl w:val="0"/>
          <w:numId w:val="37"/>
        </w:numPr>
        <w:spacing/>
        <w:rPr/>
      </w:pPr>
      <w:r>
        <w:rPr/>
        <w:t xml:space="preserve">In addition, the following further information can assist guests:</w:t>
      </w:r>
    </w:p>
    <w:p>
      <w:pPr>
        <w:spacing/>
        <w:rPr/>
      </w:pPr>
      <w:r>
        <w:rPr/>
        <w:t xml:space="preserve">There is 1 long, gradual ramp that all guests will use to enter the Centre Centre. </w:t>
      </w:r>
    </w:p>
    <w:p>
      <w:pPr>
        <w:pBdr/>
        <w:spacing/>
        <w:rPr/>
      </w:pPr>
      <w:r>
        <w:rPr/>
        <w:t xml:space="preserve">We also have a 150cm long temporary ramp that can be used for a few steps. </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2000mm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In addition, the following further information can assist guests:</w:t>
      </w:r>
    </w:p>
    <w:p>
      <w:pPr>
        <w:spacing/>
        <w:rPr/>
      </w:pPr>
      <w:r>
        <w:rPr/>
        <w:t xml:space="preserve">There are child change tables located in the accessible toilets. </w:t>
      </w:r>
    </w:p>
    <w:p>
      <w:pPr>
        <w:pStyle w:val="Heading1"/>
        <w:spacing w:line="420" w:lineRule="exact"/>
        <w:rPr/>
      </w:pPr>
      <w:bookmarkStart w:id="22" w:name="_Toc0000000018"/>
      <w:r>
        <w:rPr/>
        <w:t xml:space="preserve">ATTRACTIONS</w:t>
      </w:r>
      <w:bookmarkEnd w:id="22"/>
    </w:p>
    <w:p>
      <w:pPr>
        <w:spacing/>
        <w:rPr/>
      </w:pPr>
      <w:r>
        <w:rPr/>
        <w:t xml:space="preserve"> </w:t>
      </w:r>
    </w:p>
    <w:p>
      <w:pPr>
        <w:pStyle w:val="Heading2"/>
        <w:spacing/>
        <w:rPr/>
      </w:pPr>
      <w:bookmarkStart w:id="23" w:name="_Toc0000000019"/>
      <w:r>
        <w:rPr/>
        <w:t xml:space="preserve">Attractions Basics</w:t>
      </w:r>
      <w:bookmarkEnd w:id="23"/>
    </w:p>
    <w:p>
      <w:pPr>
        <w:pStyle w:val="ListBullet"/>
        <w:numPr>
          <w:ilvl w:val="0"/>
          <w:numId w:val="37"/>
        </w:numPr>
        <w:spacing/>
        <w:rPr/>
      </w:pPr>
      <w:r>
        <w:rPr/>
        <w:t xml:space="preserve">A park map is available here:</w:t>
      </w:r>
    </w:p>
    <w:p>
      <w:pPr>
        <w:pBdr/>
        <w:spacing/>
        <w:rPr>
          <w:sz w:val="24"/>
        </w:rPr>
      </w:pPr>
      <w:hyperlink r:id="rId26" w:history="1">
        <w:r>
          <w:rPr>
            <w:rStyle w:val="Hyperlink"/>
            <w:sz w:val="24"/>
          </w:rPr>
          <w:t xml:space="preserve">https://parksaustralia.gov.au/uluru/plan/maps-and-visitor-guides/</w:t>
        </w:r>
      </w:hyperlink>
    </w:p>
    <w:p>
      <w:pPr>
        <w:spacing/>
        <w:rPr/>
      </w:pPr>
      <w:r>
        <w:rPr/>
        <w:t xml:space="preserve"> </w:t>
      </w:r>
    </w:p>
    <w:p>
      <w:pPr>
        <w:pStyle w:val="Heading2"/>
        <w:spacing/>
        <w:rPr/>
      </w:pPr>
      <w:bookmarkStart w:id="24" w:name="_Toc0000000020"/>
      <w:r>
        <w:rPr/>
        <w:t xml:space="preserve">Zoos and Wildlife Parks</w:t>
      </w:r>
      <w:bookmarkEnd w:id="24"/>
    </w:p>
    <w:p>
      <w:pPr>
        <w:pStyle w:val="ListBullet"/>
        <w:numPr>
          <w:ilvl w:val="0"/>
          <w:numId w:val="37"/>
        </w:numPr>
        <w:spacing/>
        <w:rPr/>
      </w:pPr>
      <w:r>
        <w:rPr/>
        <w:t xml:space="preserve">Guide and service dogs are welcome</w:t>
      </w:r>
    </w:p>
    <w:p>
      <w:pPr>
        <w:pBdr/>
        <w:spacing/>
        <w:rPr>
          <w:sz w:val="24"/>
        </w:rPr>
      </w:pPr>
      <w:r>
        <w:rPr>
          <w:sz w:val="24"/>
        </w:rPr>
        <w:t xml:space="preserve">Guide and service animals should observe the following rules: Guests bringing service animals into the park must make themselves known at the Park Entry Station. Assistance dogs are allowed in the park but must be kept on a leash no longer than three metres. Guests are responsible for cleaning up after their animal. </w:t>
      </w:r>
    </w:p>
    <w:p>
      <w:pPr>
        <w:pStyle w:val="ListBullet"/>
        <w:numPr>
          <w:ilvl w:val="0"/>
          <w:numId w:val="37"/>
        </w:numPr>
        <w:spacing/>
        <w:rPr/>
      </w:pPr>
      <w:r>
        <w:rPr/>
        <w:t xml:space="preserve">Displays have glass or mesh viewing panels for children or people seated in wheelchairs</w:t>
      </w:r>
    </w:p>
    <w:p>
      <w:pPr>
        <w:pStyle w:val="ListBullet"/>
        <w:numPr>
          <w:ilvl w:val="0"/>
          <w:numId w:val="37"/>
        </w:numPr>
        <w:spacing/>
        <w:rPr/>
      </w:pPr>
      <w:r>
        <w:rPr/>
        <w:t xml:space="preserve">Signage is positioned between 800mm and 1200mm above the ground</w:t>
      </w:r>
    </w:p>
    <w:p>
      <w:pPr>
        <w:pStyle w:val="ListBullet"/>
        <w:numPr>
          <w:ilvl w:val="0"/>
          <w:numId w:val="37"/>
        </w:numPr>
        <w:spacing/>
        <w:rPr/>
      </w:pPr>
      <w:r>
        <w:rPr/>
        <w:t xml:space="preserve">Signage is in a font larger than 18 point</w:t>
      </w:r>
    </w:p>
    <w:p>
      <w:pPr>
        <w:pStyle w:val="ListBullet"/>
        <w:numPr>
          <w:ilvl w:val="0"/>
          <w:numId w:val="37"/>
        </w:numPr>
        <w:spacing/>
        <w:rPr/>
      </w:pPr>
      <w:r>
        <w:rPr/>
        <w:t xml:space="preserve">Signage and information provide pictorial information</w:t>
      </w:r>
    </w:p>
    <w:p>
      <w:pPr>
        <w:pBdr/>
        <w:spacing/>
        <w:rPr>
          <w:sz w:val="24"/>
        </w:rPr>
      </w:pPr>
      <w:r>
        <w:rPr>
          <w:sz w:val="24"/>
        </w:rPr>
        <w:t xml:space="preserve">The following alternative information sources are available: Whilst the park does not provide any additional information sources, guests can purchase the Uluru Audio Guide from the Tourist Information Centre in Yulara. </w:t>
      </w:r>
    </w:p>
    <w:p>
      <w:pPr>
        <w:pStyle w:val="ListBullet"/>
        <w:numPr>
          <w:ilvl w:val="0"/>
          <w:numId w:val="37"/>
        </w:numPr>
        <w:spacing/>
        <w:rPr/>
      </w:pPr>
      <w:r>
        <w:rPr/>
        <w:t xml:space="preserve">In addition, the following further information can assist guests:</w:t>
      </w:r>
    </w:p>
    <w:p>
      <w:pPr>
        <w:spacing/>
        <w:rPr/>
      </w:pPr>
      <w:r>
        <w:rPr/>
        <w:t xml:space="preserve">Seating along the walking tracks, in particular the Uluru Base Walk is limited. </w:t>
      </w:r>
    </w:p>
    <w:p>
      <w:pPr>
        <w:pBdr/>
        <w:spacing/>
        <w:rPr/>
      </w:pPr>
      <w:r>
        <w:rPr/>
        <w:t xml:space="preserve">All walking tracks at Uluru are made of compressed dirt, and can be uneven in places. </w:t>
      </w:r>
    </w:p>
    <w:p>
      <w:pPr>
        <w:pBdr/>
        <w:spacing/>
        <w:rPr/>
      </w:pPr>
      <w:r>
        <w:rPr/>
        <w:t xml:space="preserve">The walking tracks at Kata Tjuta can be very rocky and are unsuitable for people who use wheelchairs or mobility scooters.</w:t>
      </w:r>
    </w:p>
    <w:p>
      <w:pPr>
        <w:pStyle w:val="Subtitle"/>
        <w:spacing/>
        <w:rPr/>
      </w:pPr>
      <w:r>
        <w:rPr/>
        <w:t xml:space="preserve">Image(s)</w:t>
      </w:r>
    </w:p>
    <w:p>
      <w:pPr>
        <w:spacing/>
        <w:rPr/>
      </w:pPr>
      <w:r>
        <w:rPr/>
        <w:drawing>
          <wp:inline>
            <wp:extent cx="2540000" cy="16891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540000" cy="1689100"/>
                    </a:xfrm>
                    <a:prstGeom prst="rect">
                      <a:avLst/>
                    </a:prstGeom>
                  </pic:spPr>
                </pic:pic>
              </a:graphicData>
            </a:graphic>
          </wp:inline>
        </w:drawing>
      </w:r>
    </w:p>
    <w:p>
      <w:pPr>
        <w:spacing/>
        <w:rPr/>
      </w:pPr>
      <w:r>
        <w:rPr/>
        <w:t xml:space="preserve">Cannot Upload Images</w:t>
      </w:r>
    </w:p>
    <w:p>
      <w:pPr>
        <w:pStyle w:val="Heading1"/>
        <w:spacing w:line="420" w:lineRule="exact"/>
        <w:rPr/>
      </w:pPr>
      <w:bookmarkStart w:id="25" w:name="_Toc0000000021"/>
      <w:r>
        <w:rPr/>
        <w:t xml:space="preserve">COMMON AREAS</w:t>
      </w:r>
      <w:bookmarkEnd w:id="25"/>
    </w:p>
    <w:p>
      <w:pPr>
        <w:spacing/>
        <w:rPr/>
      </w:pPr>
      <w:r>
        <w:rPr/>
        <w:t xml:space="preserve"> </w:t>
      </w:r>
    </w:p>
    <w:p>
      <w:pPr>
        <w:pStyle w:val="Heading2"/>
        <w:spacing/>
        <w:rPr/>
      </w:pPr>
      <w:bookmarkStart w:id="26" w:name="_Toc0000000022"/>
      <w:r>
        <w:rPr/>
        <w:t xml:space="preserve">Parks and gardens</w:t>
      </w:r>
      <w:bookmarkEnd w:id="26"/>
    </w:p>
    <w:p>
      <w:pPr>
        <w:pStyle w:val="ListBullet"/>
        <w:numPr>
          <w:ilvl w:val="0"/>
          <w:numId w:val="37"/>
        </w:numPr>
        <w:spacing/>
        <w:rPr/>
      </w:pPr>
      <w:r>
        <w:rPr/>
        <w:t xml:space="preserve">The following parks and gardens amenities are available</w:t>
      </w:r>
    </w:p>
    <w:p>
      <w:pPr>
        <w:pStyle w:val="ListBullet"/>
        <w:numPr>
          <w:ilvl w:val="0"/>
          <w:numId w:val="37"/>
        </w:numPr>
        <w:spacing/>
        <w:rPr/>
      </w:pPr>
      <w:r>
        <w:rPr/>
        <w:t xml:space="preserve">Accessible toilets</w:t>
      </w:r>
    </w:p>
    <w:p>
      <w:pPr>
        <w:pStyle w:val="ListBullet"/>
        <w:numPr>
          <w:ilvl w:val="0"/>
          <w:numId w:val="37"/>
        </w:numPr>
        <w:spacing/>
        <w:rPr/>
      </w:pPr>
      <w:r>
        <w:rPr/>
        <w:t xml:space="preserve">Direction signage contains distances</w:t>
      </w:r>
    </w:p>
    <w:p>
      <w:pPr>
        <w:pStyle w:val="ListBullet"/>
        <w:numPr>
          <w:ilvl w:val="0"/>
          <w:numId w:val="37"/>
        </w:numPr>
        <w:spacing/>
        <w:rPr/>
      </w:pPr>
      <w:r>
        <w:rPr/>
        <w:t xml:space="preserve">Accessible picnic tables</w:t>
      </w:r>
    </w:p>
    <w:p>
      <w:pPr>
        <w:pStyle w:val="ListBullet"/>
        <w:numPr>
          <w:ilvl w:val="0"/>
          <w:numId w:val="37"/>
        </w:numPr>
        <w:spacing/>
        <w:rPr/>
      </w:pPr>
      <w:r>
        <w:rPr/>
        <w:t xml:space="preserve">Accessible drinking fountains</w:t>
      </w:r>
    </w:p>
    <w:p>
      <w:pPr>
        <w:pStyle w:val="ListBullet"/>
        <w:numPr>
          <w:ilvl w:val="0"/>
          <w:numId w:val="37"/>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Accessible BBQs</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7" w:name="_Toc0000000023"/>
      <w:r>
        <w:rPr/>
        <w:t xml:space="preserve">Report Disclaimer</w:t>
      </w:r>
      <w:bookmarkEnd w:id="27"/>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2" name="Picture 5"/>
              <a:graphic>
                <a:graphicData uri="http://schemas.openxmlformats.org/drawingml/2006/picture">
                  <pic:pic>
                    <pic:nvPicPr>
                      <pic:cNvPr id="0" name="" descr=""/>
                      <pic:cNvPicPr>
                        <a:picLocks noChangeAspect="1" noChangeArrowheads="1"/>
                      </pic:cNvPicPr>
                    </pic:nvPicPr>
                    <pic:blipFill>
                      <a:blip r:embed="rId28"/>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9" Type="http://schemas.openxmlformats.org/officeDocument/2006/relationships/styles" Target="styles.xml" /><Relationship Id="rId30" Type="http://schemas.openxmlformats.org/officeDocument/2006/relationships/settings" Target="settings.xml" /><Relationship Id="rId31" Type="http://schemas.openxmlformats.org/officeDocument/2006/relationships/theme" Target="theme/theme1.xml" /><Relationship Id="rId32" Type="http://schemas.openxmlformats.org/officeDocument/2006/relationships/numbering" Target="numbering.xml" /><Relationship Id="rId1" Type="http://schemas.openxmlformats.org/officeDocument/2006/relationships/footer" Target="footer1.xml" /><Relationship Id="rId33" Type="http://schemas.openxmlformats.org/officeDocument/2006/relationships/fontTable" Target="fontTable.xml" /><Relationship Id="rId27" Type="http://schemas.openxmlformats.org/officeDocument/2006/relationships/image" Target="media/image3.jpeg" /><Relationship Id="rId25" Type="http://schemas.openxmlformats.org/officeDocument/2006/relationships/hyperlink" Target="https://accreditation.qualitytourismaustralia.com/report/AccessReportPublicHtml2/27c220d2-39a9-ee11-b423-6045bd3f338d" TargetMode="External" /><Relationship Id="rId26" Type="http://schemas.openxmlformats.org/officeDocument/2006/relationships/hyperlink" Target="https://parksaustralia.gov.au/uluru/plan/maps-and-visitor-guides/" TargetMode="External" /><Relationship Id="rId34" Type="http://schemas.openxmlformats.org/officeDocument/2006/relationships/customXml" Target="../customXml/item1.xml" /><Relationship Id="rId35" Type="http://schemas.openxmlformats.org/officeDocument/2006/relationships/customXml" Target="../customXml/item2.xml" /><Relationship Id="rId36" Type="http://schemas.openxmlformats.org/officeDocument/2006/relationships/customXml" Target="../customXml/item3.xml" /><Relationship Id="rId37"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8"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