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The Cove Tasmania</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256 C Waverley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Kim Robinson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0364590480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admin@thecovetasmania.com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https://www.thecovetasmania.com </w:t>
            </w:r>
          </w:p>
          <w:p>
            <w:pPr>
              <w:pBdr/>
              <w:spacing/>
              <w:rPr>
                <w:sz w:val="28"/>
                <w:szCs w:val="28"/>
              </w:rPr>
            </w:pPr>
            <w:r>
              <w:rPr>
                <w:sz w:val="28"/>
                <w:szCs w:val="28"/>
              </w:rPr>
              <w:t xml:space="preserve"/>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2026-09-23 08:48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8</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9</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10</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10</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10</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11</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11</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2"/>
            <w:tabs>
              <w:tab w:val="right" w:leader="dot" w:pos="9016"/>
            </w:tabs>
            <w:spacing/>
            <w:rPr/>
          </w:pPr>
          <w:hyperlink w:anchor="_Toc0000000020" w:history="1">
            <w:r>
              <w:rPr>
                <w:rStyle w:val="Hyperlink"/>
              </w:rPr>
              <w:t xml:space="preserve">Bedrooms</w:t>
            </w:r>
            <w:r>
              <w:rPr/>
              <w:tab/>
              <w:t xml:space="preserve"/>
            </w:r>
            <w:r>
              <w:rPr/>
              <w:fldChar w:fldCharType="begin"/>
            </w:r>
            <w:r>
              <w:rPr/>
              <w:instrText>PAGEREF _Toc0000000020 \h</w:instrText>
            </w:r>
            <w:r>
              <w:rPr/>
              <w:fldChar w:fldCharType="separate"/>
            </w:r>
            <w:r>
              <w:rPr/>
              <w:t xml:space="preserve">12</w:t>
            </w:r>
            <w:r>
              <w:rPr/>
              <w:fldChar w:fldCharType="end"/>
            </w:r>
          </w:hyperlink>
        </w:p>
        <w:p>
          <w:pPr>
            <w:pStyle w:val="TOC2"/>
            <w:tabs>
              <w:tab w:val="right" w:leader="dot" w:pos="9016"/>
            </w:tabs>
            <w:spacing/>
            <w:rPr/>
          </w:pPr>
          <w:hyperlink w:anchor="_Toc0000000021" w:history="1">
            <w:r>
              <w:rPr>
                <w:rStyle w:val="Hyperlink"/>
              </w:rPr>
              <w:t xml:space="preserve">Room Amenities</w:t>
            </w:r>
            <w:r>
              <w:rPr/>
              <w:tab/>
              <w:t xml:space="preserve"/>
            </w:r>
            <w:r>
              <w:rPr/>
              <w:fldChar w:fldCharType="begin"/>
            </w:r>
            <w:r>
              <w:rPr/>
              <w:instrText>PAGEREF _Toc0000000021 \h</w:instrText>
            </w:r>
            <w:r>
              <w:rPr/>
              <w:fldChar w:fldCharType="separate"/>
            </w:r>
            <w:r>
              <w:rPr/>
              <w:t xml:space="preserve">13</w:t>
            </w:r>
            <w:r>
              <w:rPr/>
              <w:fldChar w:fldCharType="end"/>
            </w:r>
          </w:hyperlink>
        </w:p>
        <w:p>
          <w:pPr>
            <w:pStyle w:val="TOC2"/>
            <w:tabs>
              <w:tab w:val="right" w:leader="dot" w:pos="9016"/>
            </w:tabs>
            <w:spacing/>
            <w:rPr/>
          </w:pPr>
          <w:hyperlink w:anchor="_Toc0000000022" w:history="1">
            <w:r>
              <w:rPr>
                <w:rStyle w:val="Hyperlink"/>
              </w:rPr>
              <w:t xml:space="preserve">Bathrooms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17</w:t>
            </w:r>
            <w:r>
              <w:rPr/>
              <w:fldChar w:fldCharType="end"/>
            </w:r>
          </w:hyperlink>
        </w:p>
        <w:p>
          <w:pPr>
            <w:pStyle w:val="TOC2"/>
            <w:tabs>
              <w:tab w:val="right" w:leader="dot" w:pos="9016"/>
            </w:tabs>
            <w:spacing/>
            <w:rPr/>
          </w:pPr>
          <w:hyperlink w:anchor="_Toc0000000024" w:history="1">
            <w:r>
              <w:rPr>
                <w:rStyle w:val="Hyperlink"/>
              </w:rPr>
              <w:t xml:space="preserve">Parks and gardens</w:t>
            </w:r>
            <w:r>
              <w:rPr/>
              <w:tab/>
              <w:t xml:space="preserve"/>
            </w:r>
            <w:r>
              <w:rPr/>
              <w:fldChar w:fldCharType="begin"/>
            </w:r>
            <w:r>
              <w:rPr/>
              <w:instrText>PAGEREF _Toc0000000024 \h</w:instrText>
            </w:r>
            <w:r>
              <w:rPr/>
              <w:fldChar w:fldCharType="separate"/>
            </w:r>
            <w:r>
              <w:rPr/>
              <w:t xml:space="preserve">17</w:t>
            </w:r>
            <w:r>
              <w:rPr/>
              <w:fldChar w:fldCharType="end"/>
            </w:r>
          </w:hyperlink>
        </w:p>
        <w:p>
          <w:pPr>
            <w:pStyle w:val="TOC1"/>
            <w:tabs>
              <w:tab w:val="right" w:leader="dot" w:pos="9016"/>
            </w:tabs>
            <w:spacing/>
            <w:rPr/>
          </w:pPr>
          <w:hyperlink w:anchor="_Toc0000000025" w:history="1">
            <w:r>
              <w:rPr>
                <w:rStyle w:val="Hyperlink"/>
              </w:rPr>
              <w:t xml:space="preserve">FOOD AND DRINK</w:t>
            </w:r>
            <w:r>
              <w:rPr/>
              <w:tab/>
              <w:t xml:space="preserve"/>
            </w:r>
            <w:r>
              <w:rPr/>
              <w:fldChar w:fldCharType="begin"/>
            </w:r>
            <w:r>
              <w:rPr/>
              <w:instrText>PAGEREF _Toc0000000025 \h</w:instrText>
            </w:r>
            <w:r>
              <w:rPr/>
              <w:fldChar w:fldCharType="separate"/>
            </w:r>
            <w:r>
              <w:rPr/>
              <w:t xml:space="preserve">20</w:t>
            </w:r>
            <w:r>
              <w:rPr/>
              <w:fldChar w:fldCharType="end"/>
            </w:r>
          </w:hyperlink>
        </w:p>
        <w:p>
          <w:pPr>
            <w:pStyle w:val="TOC2"/>
            <w:tabs>
              <w:tab w:val="right" w:leader="dot" w:pos="9016"/>
            </w:tabs>
            <w:spacing/>
            <w:rPr/>
          </w:pPr>
          <w:hyperlink w:anchor="_Toc0000000026" w:history="1">
            <w:r>
              <w:rPr>
                <w:rStyle w:val="Hyperlink"/>
              </w:rPr>
              <w:t xml:space="preserve">Dining Spaces</w:t>
            </w:r>
            <w:r>
              <w:rPr/>
              <w:tab/>
              <w:t xml:space="preserve"/>
            </w:r>
            <w:r>
              <w:rPr/>
              <w:fldChar w:fldCharType="begin"/>
            </w:r>
            <w:r>
              <w:rPr/>
              <w:instrText>PAGEREF _Toc0000000026 \h</w:instrText>
            </w:r>
            <w:r>
              <w:rPr/>
              <w:fldChar w:fldCharType="separate"/>
            </w:r>
            <w:r>
              <w:rPr/>
              <w:t xml:space="preserve">20</w:t>
            </w:r>
            <w:r>
              <w:rPr/>
              <w:fldChar w:fldCharType="end"/>
            </w:r>
          </w:hyperlink>
        </w:p>
        <w:p>
          <w:pPr>
            <w:pStyle w:val="TOC2"/>
            <w:tabs>
              <w:tab w:val="right" w:leader="dot" w:pos="9016"/>
            </w:tabs>
            <w:spacing/>
            <w:rPr/>
          </w:pPr>
          <w:hyperlink w:anchor="_Toc0000000027" w:history="1">
            <w:r>
              <w:rPr>
                <w:rStyle w:val="Hyperlink"/>
              </w:rPr>
              <w:t xml:space="preserve">Report Disclaimer</w:t>
            </w:r>
            <w:r>
              <w:rPr/>
              <w:tab/>
              <w:t xml:space="preserve"/>
            </w:r>
            <w:r>
              <w:rPr/>
              <w:fldChar w:fldCharType="begin"/>
            </w:r>
            <w:r>
              <w:rPr/>
              <w:instrText>PAGEREF _Toc0000000027 \h</w:instrText>
            </w:r>
            <w:r>
              <w:rPr/>
              <w:fldChar w:fldCharType="separate"/>
            </w:r>
            <w:r>
              <w:rPr/>
              <w:t xml:space="preserve">23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9" w:history="1">
        <w:r>
          <w:rPr>
            <w:rStyle w:val="Hyperlink"/>
            <w:sz w:val="24"/>
          </w:rPr>
          <w:t xml:space="preserve">https://www.thecovetasmania.com/accesibility-statement</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Bdr/>
        <w:spacing/>
        <w:rPr>
          <w:sz w:val="24"/>
        </w:rPr>
      </w:pPr>
      <w:r>
        <w:rPr>
          <w:sz w:val="24"/>
        </w:rPr>
        <w:t xml:space="preserve">We encourage guests with a disability to advise if there is anything staff can do for them. Most phone and ask questions prior to booking. We find that the guest with a disability can find solutions to any barriers/challenges during discussions. We would like to get badges for different disabilities that our site complies with. Our new development is fully accessible, has braile signage, colour contrasts throughout, step free, and hallways 1200+ wide, double entry doors throughout. Transition from car parking to decks is step free, two disabled car spaces are clearly marked and both our corporate centre, restaurant and cafe have a fully accessible bathroom.</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Bdr/>
        <w:spacing/>
        <w:rPr>
          <w:sz w:val="24"/>
        </w:rPr>
      </w:pPr>
      <w:r>
        <w:rPr>
          <w:sz w:val="24"/>
        </w:rPr>
        <w:t xml:space="preserve">Introduction cards, google nest, community request cards. We now have a digital concierge in every room and communal spaces.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We ensure the guest and their service animal are welcomed and accommodated. Any requests for items needed for service animals are provided. We are in a conservation area and sensitive ecological environment, however we work with guests prior to their arrival so there is a good understanding of the site.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We were informed that we do not have competing noises so a hearing loop was not required. Reception is quiet and allows for individual guest check-in. Staff ask questions and complete forms for guests if required. Forms are completed on the counter top with guests seated. Advice from company that sell hearing loops, when we explained our reception are said they would not be necessary.</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on advise from Hearing loop company we do not need hearing loop</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Our check in procedure is quick and efficient and we ensure guests are not waiting for more than a few minutes.</w:t>
      </w:r>
    </w:p>
    <w:p>
      <w:pPr>
        <w:pStyle w:val="ListBullet"/>
        <w:numPr>
          <w:ilvl w:val="0"/>
          <w:numId w:val="37"/>
        </w:numPr>
        <w:spacing/>
        <w:rPr/>
      </w:pPr>
      <w:r>
        <w:rPr/>
        <w:t xml:space="preserve">In addition, the following further information can assist guests:</w:t>
      </w:r>
    </w:p>
    <w:p>
      <w:pPr>
        <w:spacing/>
        <w:rPr/>
      </w:pPr>
      <w:r>
        <w:rPr/>
        <w:t xml:space="preserve">Guests are given clear instructions on parking (including private disabled room parking and guest car park disabled parking.  Signage is also clear.</w:t>
      </w:r>
    </w:p>
    <w:p>
      <w:pPr>
        <w:pBdr/>
        <w:spacing/>
        <w:rPr/>
      </w:pPr>
      <w:r>
        <w:rPr/>
        <w:t xml:space="preserve">We can provide our guide on request.  </w:t>
      </w:r>
    </w:p>
    <w:p>
      <w:pPr>
        <w:pBdr/>
        <w:spacing/>
        <w:rPr/>
      </w:pPr>
      <w:r>
        <w:rPr/>
        <w:t xml:space="preserve">https://accreditation.qualitytourismaustralia.com/report/AccessReportPublicHtml2/260cced8-e1e3-ed11-a98c-002248144916</w:t>
      </w:r>
    </w:p>
    <w:p>
      <w:pPr>
        <w:pBdr/>
        <w:spacing/>
        <w:rPr/>
      </w:pPr>
      <w:r>
        <w:rPr/>
        <w:t xml:space="preserve">All guests are given a map and a digital concierge is in every room and communal space.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We do not have passenger train service nor trams, however do have buses and these are not close by, but stops available for guests who wish to access transport.</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All guests come to Reception to check-in. Disabled parking is provided at the ramp to Reception.</w:t>
      </w:r>
    </w:p>
    <w:p>
      <w:pPr>
        <w:pBdr/>
        <w:spacing/>
        <w:rPr/>
      </w:pPr>
      <w:r>
        <w:rPr/>
        <w:t xml:space="preserve">We have developed a document that we can send to guests with photos and explanations of the various access areas and rooms, bathrooms and communal areas.  Our new development is all accessible including the restaurant, cafe, corporate centre and Lillico rooms.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Transition mats are at all doors for accessibility.  Our new development is all accessible and in accordance with commercial building codes.</w:t>
      </w:r>
    </w:p>
    <w:p>
      <w:pPr>
        <w:pStyle w:val="ListBullet"/>
        <w:numPr>
          <w:ilvl w:val="0"/>
          <w:numId w:val="37"/>
        </w:numPr>
        <w:spacing/>
        <w:rPr/>
      </w:pPr>
      <w:r>
        <w:rPr/>
        <w:t xml:space="preserve">In addition, the following further information can assist guests:</w:t>
      </w:r>
    </w:p>
    <w:p>
      <w:pPr>
        <w:spacing/>
        <w:rPr/>
      </w:pPr>
      <w:r>
        <w:rPr/>
        <w:t xml:space="preserve">We do not have any lifts on site - all buildings are single story.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Our new restaurant (Basalt) and Atrium Cafe are now open and are accessible with pictorial menus in our cafe (screens).    </w:t>
      </w:r>
    </w:p>
    <w:p>
      <w:pPr>
        <w:pBdr/>
        <w:spacing/>
        <w:rPr/>
      </w:pPr>
      <w:r>
        <w:rPr/>
        <w:t xml:space="preserve">We are an Adults Only property, thus do not have children on site.  We provide Therapy Pods for adults who may need them.  We have quite a few quiet spaces for guests.</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We do not have a barrier in reception and spoke to Hearing Loop company and were advised hearing loops are not needed</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We can send guests with mobility needs our document with pictures of access and information about the site and access.</w:t>
      </w:r>
    </w:p>
    <w:p>
      <w:pPr>
        <w:pBdr/>
        <w:spacing/>
        <w:rPr/>
      </w:pPr>
      <w:r>
        <w:rPr/>
        <w:t xml:space="preserve">We have a variety of different accommodations - accessible, with ramp access, with two small steps, with three small steps.  We are improving our site constantly and will have new step free access from our disability unit to reception, and our new development is all accessible from the car park to all areas.</w:t>
      </w:r>
    </w:p>
    <w:p>
      <w:pPr>
        <w:pBdr/>
        <w:spacing/>
        <w:rPr/>
      </w:pPr>
      <w:r>
        <w:rPr/>
        <w:t xml:space="preserve">We are developing a video tour as well in the coming weeks.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Some of our units have two or three steps, however, we have at least nine room types with ramp access or are accessible and The Alexander Centre has ramp access at entry and courtyard exit.  Our new development is all accessible and complies with commercial building codes.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Our ramps are all less than three metres long and wide with very little elevation from ground to deck/path/courtyard level.</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 metres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Our disability bathrooms are compliant and have all the necessary spaces, grab rails, shower seat and vanity access for those with mobility needs.</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pBdr/>
        <w:spacing/>
        <w:rPr>
          <w:sz w:val="24"/>
        </w:rPr>
      </w:pPr>
      <w:r>
        <w:rPr>
          <w:sz w:val="24"/>
        </w:rPr>
        <w:t xml:space="preserve">There are 10 from our total of 18 rooms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5748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574800"/>
                    </a:xfrm>
                    <a:prstGeom prst="rect">
                      <a:avLst/>
                    </a:prstGeom>
                  </pic:spPr>
                </pic:pic>
              </a:graphicData>
            </a:graphic>
          </wp:inline>
        </w:drawing>
      </w:r>
    </w:p>
    <w:p>
      <w:pPr>
        <w:spacing/>
        <w:rPr/>
      </w:pPr>
      <w:r>
        <w:rPr/>
        <w:t xml:space="preserve">bedroom hall way</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bedroom lighting</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hs floor</w:t>
      </w:r>
    </w:p>
    <w:p>
      <w:pPr>
        <w:spacing/>
        <w:rPr/>
      </w:pPr>
      <w:r>
        <w:rPr/>
        <w:drawing>
          <wp:inline>
            <wp:extent cx="2540000" cy="17907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790700"/>
                    </a:xfrm>
                    <a:prstGeom prst="rect">
                      <a:avLst/>
                    </a:prstGeom>
                  </pic:spPr>
                </pic:pic>
              </a:graphicData>
            </a:graphic>
          </wp:inline>
        </w:drawing>
      </w:r>
    </w:p>
    <w:p>
      <w:pPr>
        <w:spacing/>
        <w:rPr/>
      </w:pPr>
      <w:r>
        <w:rPr/>
        <w:t xml:space="preserve">lillico soak suites</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689100"/>
                    </a:xfrm>
                    <a:prstGeom prst="rect">
                      <a:avLst/>
                    </a:prstGeom>
                  </pic:spPr>
                </pic:pic>
              </a:graphicData>
            </a:graphic>
          </wp:inline>
        </w:drawing>
      </w:r>
    </w:p>
    <w:p>
      <w:pPr>
        <w:spacing/>
        <w:rPr/>
      </w:pPr>
      <w:r>
        <w:rPr/>
        <w:t xml:space="preserve">SSP_5552-Edit</w:t>
      </w:r>
    </w:p>
    <w:p>
      <w:pPr>
        <w:spacing/>
        <w:rPr/>
      </w:pPr>
      <w:r>
        <w:rPr/>
        <w:t xml:space="preserve"> </w:t>
      </w:r>
    </w:p>
    <w:p>
      <w:pPr>
        <w:pStyle w:val="Heading2"/>
        <w:spacing/>
        <w:rPr/>
      </w:pPr>
      <w:bookmarkStart w:id="25" w:name="_Toc0000000021"/>
      <w:r>
        <w:rPr/>
        <w:t xml:space="preserve">Room Amenities</w:t>
      </w:r>
      <w:bookmarkEnd w:id="25"/>
    </w:p>
    <w:p>
      <w:pPr>
        <w:pBdr/>
        <w:spacing/>
        <w:rPr>
          <w:sz w:val="24"/>
        </w:rPr>
      </w:pPr>
      <w:r>
        <w:rPr>
          <w:sz w:val="24"/>
        </w:rPr>
        <w:t xml:space="preserve">The robes have shelves as well as rails. Some rooms have a pull out hanger rail and all rooms have hooks.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Room phones are hearing loop compatible</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We do not have phones in rooms Some rooms have lower beds, however accessible rooms all have higher beds suitable for access. Robe doors are soft close sliding doors with no handles</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1905000" cy="2540000"/>
                    </a:xfrm>
                    <a:prstGeom prst="rect">
                      <a:avLst/>
                    </a:prstGeom>
                  </pic:spPr>
                </pic:pic>
              </a:graphicData>
            </a:graphic>
          </wp:inline>
        </w:drawing>
      </w:r>
    </w:p>
    <w:p>
      <w:pPr>
        <w:spacing/>
        <w:rPr/>
      </w:pPr>
      <w:r>
        <w:rPr/>
        <w:t xml:space="preserve">bathroom niche lighting</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IMG_1282</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IMG_1283</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IMG_1284</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IMG_1285</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IMG_1286</w:t>
      </w:r>
    </w:p>
    <w:p>
      <w:pPr>
        <w:pStyle w:val="ListBullet"/>
        <w:numPr>
          <w:ilvl w:val="0"/>
          <w:numId w:val="37"/>
        </w:numPr>
        <w:spacing/>
        <w:rPr/>
      </w:pPr>
      <w:r>
        <w:rPr/>
        <w:t xml:space="preserve">In addition, the following further information can assist guests:</w:t>
      </w:r>
    </w:p>
    <w:p>
      <w:pPr>
        <w:spacing/>
        <w:rPr/>
      </w:pPr>
      <w:r>
        <w:rPr/>
        <w:t xml:space="preserve">Wardrobe doors are sliders.  We have a variety of accessible and non accessible rooms and bathrooms, however we do cater for people with a disability with an option of room types.  All showers are walk in.</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This map is available online</w:t>
      </w:r>
    </w:p>
    <w:p>
      <w:pPr>
        <w:pBdr/>
        <w:spacing/>
        <w:rPr>
          <w:sz w:val="24"/>
        </w:rPr>
      </w:pPr>
      <w:hyperlink r:id="rId41" w:history="1">
        <w:r>
          <w:rPr>
            <w:rStyle w:val="Hyperlink"/>
            <w:sz w:val="24"/>
          </w:rPr>
          <w:t xml:space="preserve">https://www.thecovetasmania.com/accessibility-statement</w:t>
        </w:r>
      </w:hyperlink>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or tower has level or ramped access</w:t>
      </w:r>
    </w:p>
    <w:p>
      <w:pPr>
        <w:pStyle w:val="ListBullet"/>
        <w:numPr>
          <w:ilvl w:val="0"/>
          <w:numId w:val="37"/>
        </w:numPr>
        <w:spacing/>
        <w:rPr/>
      </w:pPr>
      <w:r>
        <w:rPr/>
        <w:t xml:space="preserve">The observation deck provides a clear view through the safety railing</w:t>
      </w:r>
    </w:p>
    <w:p>
      <w:pPr>
        <w:pStyle w:val="ListBullet"/>
        <w:numPr>
          <w:ilvl w:val="0"/>
          <w:numId w:val="37"/>
        </w:numPr>
        <w:spacing/>
        <w:rPr/>
      </w:pPr>
      <w:r>
        <w:rPr/>
        <w:t xml:space="preserve">The park contains a fishing platform</w:t>
      </w:r>
    </w:p>
    <w:p>
      <w:pPr>
        <w:pStyle w:val="ListBullet"/>
        <w:numPr>
          <w:ilvl w:val="0"/>
          <w:numId w:val="37"/>
        </w:numPr>
        <w:spacing/>
        <w:rPr/>
      </w:pPr>
      <w:r>
        <w:rPr/>
        <w:t xml:space="preserve">The fishing platform has step free access</w:t>
      </w:r>
    </w:p>
    <w:p>
      <w:pPr>
        <w:pStyle w:val="ListBullet"/>
        <w:numPr>
          <w:ilvl w:val="0"/>
          <w:numId w:val="37"/>
        </w:numPr>
        <w:spacing/>
        <w:rPr/>
      </w:pPr>
      <w:r>
        <w:rPr/>
        <w:t xml:space="preserve">The fishing platform has seating</w:t>
      </w:r>
    </w:p>
    <w:p>
      <w:pPr>
        <w:pStyle w:val="ListBullet"/>
        <w:numPr>
          <w:ilvl w:val="0"/>
          <w:numId w:val="37"/>
        </w:numPr>
        <w:spacing/>
        <w:rPr/>
      </w:pPr>
      <w:r>
        <w:rPr/>
        <w:t xml:space="preserve">There is provision for lower guard rails to allow fishing from a seated position</w:t>
      </w:r>
    </w:p>
    <w:p>
      <w:pPr>
        <w:pStyle w:val="Subtitle"/>
        <w:spacing/>
        <w:rPr/>
      </w:pPr>
      <w:r>
        <w:rPr/>
        <w:t xml:space="preserve">Parks and Gardens Access/Entry Image(s)</w:t>
      </w:r>
    </w:p>
    <w:p>
      <w:pPr>
        <w:spacing/>
        <w:rPr/>
      </w:pPr>
      <w:r>
        <w:rPr/>
        <w:drawing>
          <wp:inline>
            <wp:extent cx="20320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032000" cy="2540000"/>
                    </a:xfrm>
                    <a:prstGeom prst="rect">
                      <a:avLst/>
                    </a:prstGeom>
                  </pic:spPr>
                </pic:pic>
              </a:graphicData>
            </a:graphic>
          </wp:inline>
        </w:drawing>
      </w:r>
    </w:p>
    <w:p>
      <w:pPr>
        <w:spacing/>
        <w:rPr/>
      </w:pPr>
      <w:r>
        <w:rPr/>
        <w:t xml:space="preserve">access</w:t>
      </w:r>
    </w:p>
    <w:p>
      <w:pPr>
        <w:spacing/>
        <w:rPr/>
      </w:pPr>
      <w:r>
        <w:rPr/>
        <w:drawing>
          <wp:inline>
            <wp:extent cx="2540000" cy="17272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1727200"/>
                    </a:xfrm>
                    <a:prstGeom prst="rect">
                      <a:avLst/>
                    </a:prstGeom>
                  </pic:spPr>
                </pic:pic>
              </a:graphicData>
            </a:graphic>
          </wp:inline>
        </w:drawing>
      </w:r>
    </w:p>
    <w:p>
      <w:pPr>
        <w:spacing/>
        <w:rPr/>
      </w:pPr>
      <w:r>
        <w:rPr/>
        <w:t xml:space="preserve">decks</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2540000" cy="1905000"/>
                    </a:xfrm>
                    <a:prstGeom prst="rect">
                      <a:avLst/>
                    </a:prstGeom>
                  </pic:spPr>
                </pic:pic>
              </a:graphicData>
            </a:graphic>
          </wp:inline>
        </w:drawing>
      </w:r>
    </w:p>
    <w:p>
      <w:pPr>
        <w:spacing/>
        <w:rPr/>
      </w:pPr>
      <w:r>
        <w:rPr/>
        <w:t xml:space="preserve">IMG_1288</w:t>
      </w:r>
    </w:p>
    <w:p>
      <w:pPr>
        <w:spacing/>
        <w:rPr/>
      </w:pPr>
      <w:r>
        <w:rPr/>
        <w:drawing>
          <wp:inline>
            <wp:extent cx="2540000" cy="1905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905000"/>
                    </a:xfrm>
                    <a:prstGeom prst="rect">
                      <a:avLst/>
                    </a:prstGeom>
                  </pic:spPr>
                </pic:pic>
              </a:graphicData>
            </a:graphic>
          </wp:inline>
        </w:drawing>
      </w:r>
    </w:p>
    <w:p>
      <w:pPr>
        <w:spacing/>
        <w:rPr/>
      </w:pPr>
      <w:r>
        <w:rPr/>
        <w:t xml:space="preserve">IMG_1289</w:t>
      </w:r>
    </w:p>
    <w:p>
      <w:pPr>
        <w:spacing/>
        <w:rPr/>
      </w:pPr>
      <w:r>
        <w:rPr/>
        <w:drawing>
          <wp:inline>
            <wp:extent cx="2540000" cy="1905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905000"/>
                    </a:xfrm>
                    <a:prstGeom prst="rect">
                      <a:avLst/>
                    </a:prstGeom>
                  </pic:spPr>
                </pic:pic>
              </a:graphicData>
            </a:graphic>
          </wp:inline>
        </w:drawing>
      </w:r>
    </w:p>
    <w:p>
      <w:pPr>
        <w:spacing/>
        <w:rPr/>
      </w:pPr>
      <w:r>
        <w:rPr/>
        <w:t xml:space="preserve">IMG_1290</w:t>
      </w:r>
    </w:p>
    <w:p>
      <w:pPr>
        <w:spacing/>
        <w:rPr/>
      </w:pPr>
      <w:r>
        <w:rPr/>
        <w:drawing>
          <wp:inline>
            <wp:extent cx="2540000" cy="1905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2540000" cy="1905000"/>
                    </a:xfrm>
                    <a:prstGeom prst="rect">
                      <a:avLst/>
                    </a:prstGeom>
                  </pic:spPr>
                </pic:pic>
              </a:graphicData>
            </a:graphic>
          </wp:inline>
        </w:drawing>
      </w:r>
    </w:p>
    <w:p>
      <w:pPr>
        <w:spacing/>
        <w:rPr/>
      </w:pPr>
      <w:r>
        <w:rPr/>
        <w:t xml:space="preserve">IMG_1291</w:t>
      </w:r>
    </w:p>
    <w:p>
      <w:pPr>
        <w:pStyle w:val="Heading1"/>
        <w:spacing w:line="420" w:lineRule="exact"/>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48" w:history="1">
        <w:r>
          <w:rPr>
            <w:rStyle w:val="Hyperlink"/>
            <w:sz w:val="24"/>
          </w:rPr>
          <w:t xml:space="preserve">https://www.basalttasmania.com/</w:t>
        </w:r>
      </w:hyperlink>
    </w:p>
    <w:p>
      <w:pPr>
        <w:pStyle w:val="Subtitle"/>
        <w:spacing/>
        <w:rPr/>
      </w:pPr>
      <w:r>
        <w:rPr/>
        <w:t xml:space="preserve">Food and Beverage Image(s)</w:t>
      </w:r>
    </w:p>
    <w:p>
      <w:pPr>
        <w:spacing/>
        <w:rPr/>
      </w:pPr>
      <w:r>
        <w:rPr/>
        <w:drawing>
          <wp:inline>
            <wp:extent cx="2032000" cy="2540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9"/>
                    <a:srcRect/>
                    <a:stretch>
                      <a:fillRect/>
                    </a:stretch>
                  </pic:blipFill>
                  <pic:spPr bwMode="auto">
                    <a:xfrm>
                      <a:off x="0" y="0"/>
                      <a:ext cx="2032000" cy="2540000"/>
                    </a:xfrm>
                    <a:prstGeom prst="rect">
                      <a:avLst/>
                    </a:prstGeom>
                  </pic:spPr>
                </pic:pic>
              </a:graphicData>
            </a:graphic>
          </wp:inline>
        </w:drawing>
      </w:r>
    </w:p>
    <w:p>
      <w:pPr>
        <w:spacing/>
        <w:rPr/>
      </w:pPr>
      <w:r>
        <w:rPr/>
        <w:t xml:space="preserve">dining access</w:t>
      </w:r>
    </w:p>
    <w:p>
      <w:pPr>
        <w:spacing/>
        <w:rPr/>
      </w:pPr>
      <w:r>
        <w:rPr/>
        <w:drawing>
          <wp:inline>
            <wp:extent cx="2032000" cy="2540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0"/>
                    <a:srcRect/>
                    <a:stretch>
                      <a:fillRect/>
                    </a:stretch>
                  </pic:blipFill>
                  <pic:spPr bwMode="auto">
                    <a:xfrm>
                      <a:off x="0" y="0"/>
                      <a:ext cx="2032000" cy="2540000"/>
                    </a:xfrm>
                    <a:prstGeom prst="rect">
                      <a:avLst/>
                    </a:prstGeom>
                  </pic:spPr>
                </pic:pic>
              </a:graphicData>
            </a:graphic>
          </wp:inline>
        </w:drawing>
      </w:r>
    </w:p>
    <w:p>
      <w:pPr>
        <w:spacing/>
        <w:rPr/>
      </w:pPr>
      <w:r>
        <w:rPr/>
        <w:t xml:space="preserve">restaurant and cafe and br</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Restaurant and Cafe, Corporate Building - are all accessible and have been built with accessibility as a priority.  Car park, paths, decks are all step-free and accessible. Menus available on-line for both Basalt and Atrium.  We have a seperate URL for both Atrium and Basalt however both can be accessed via The Cove Tasmania website.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1" w:name="_Toc0000000027"/>
      <w:r>
        <w:rPr/>
        <w:t xml:space="preserve">Report Disclaimer</w:t>
      </w:r>
      <w:bookmarkEnd w:id="31"/>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0" name="Picture 5"/>
              <a:graphic>
                <a:graphicData uri="http://schemas.openxmlformats.org/drawingml/2006/picture">
                  <pic:pic>
                    <pic:nvPicPr>
                      <pic:cNvPr id="0" name="" descr=""/>
                      <pic:cNvPicPr>
                        <a:picLocks noChangeAspect="1" noChangeArrowheads="1"/>
                      </pic:cNvPicPr>
                    </pic:nvPicPr>
                    <pic:blipFill>
                      <a:blip r:embed="rId51"/>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2" Type="http://schemas.openxmlformats.org/officeDocument/2006/relationships/styles" Target="styles.xml" /><Relationship Id="rId53" Type="http://schemas.openxmlformats.org/officeDocument/2006/relationships/settings" Target="settings.xml" /><Relationship Id="rId54" Type="http://schemas.openxmlformats.org/officeDocument/2006/relationships/theme" Target="theme/theme1.xml" /><Relationship Id="rId55" Type="http://schemas.openxmlformats.org/officeDocument/2006/relationships/numbering" Target="numbering.xml" /><Relationship Id="rId1" Type="http://schemas.openxmlformats.org/officeDocument/2006/relationships/footer" Target="footer1.xml" /><Relationship Id="rId56" Type="http://schemas.openxmlformats.org/officeDocument/2006/relationships/fontTable" Target="fontTable.xml" /><Relationship Id="rId30" Type="http://schemas.openxmlformats.org/officeDocument/2006/relationships/image" Target="media/image3.jpeg" /><Relationship Id="rId31" Type="http://schemas.openxmlformats.org/officeDocument/2006/relationships/image" Target="media/image4.jpeg" /><Relationship Id="rId32" Type="http://schemas.openxmlformats.org/officeDocument/2006/relationships/image" Target="media/image5.jpeg" /><Relationship Id="rId33" Type="http://schemas.openxmlformats.org/officeDocument/2006/relationships/image" Target="media/image6.jpeg" /><Relationship Id="rId34" Type="http://schemas.openxmlformats.org/officeDocument/2006/relationships/image" Target="media/image7.jpeg" /><Relationship Id="rId35" Type="http://schemas.openxmlformats.org/officeDocument/2006/relationships/image" Target="media/image8.jpeg" /><Relationship Id="rId36" Type="http://schemas.openxmlformats.org/officeDocument/2006/relationships/image" Target="media/image9.jpeg" /><Relationship Id="rId37" Type="http://schemas.openxmlformats.org/officeDocument/2006/relationships/image" Target="media/image10.jpeg" /><Relationship Id="rId38" Type="http://schemas.openxmlformats.org/officeDocument/2006/relationships/image" Target="media/image11.jpeg" /><Relationship Id="rId39" Type="http://schemas.openxmlformats.org/officeDocument/2006/relationships/image" Target="media/image12.jpeg" /><Relationship Id="rId40" Type="http://schemas.openxmlformats.org/officeDocument/2006/relationships/image" Target="media/image13.jpeg" /><Relationship Id="rId42" Type="http://schemas.openxmlformats.org/officeDocument/2006/relationships/image" Target="media/image14.jpeg" /><Relationship Id="rId43" Type="http://schemas.openxmlformats.org/officeDocument/2006/relationships/image" Target="media/image15.jpeg" /><Relationship Id="rId44" Type="http://schemas.openxmlformats.org/officeDocument/2006/relationships/image" Target="media/image16.jpeg" /><Relationship Id="rId45" Type="http://schemas.openxmlformats.org/officeDocument/2006/relationships/image" Target="media/image17.jpeg" /><Relationship Id="rId46" Type="http://schemas.openxmlformats.org/officeDocument/2006/relationships/image" Target="media/image18.jpeg" /><Relationship Id="rId47" Type="http://schemas.openxmlformats.org/officeDocument/2006/relationships/image" Target="media/image19.jpeg" /><Relationship Id="rId49" Type="http://schemas.openxmlformats.org/officeDocument/2006/relationships/image" Target="media/image20.jpeg" /><Relationship Id="rId50" Type="http://schemas.openxmlformats.org/officeDocument/2006/relationships/image" Target="media/image21.jpeg" /><Relationship Id="rId29" Type="http://schemas.openxmlformats.org/officeDocument/2006/relationships/hyperlink" Target="https://www.thecovetasmania.com/accesibility-statement" TargetMode="External" /><Relationship Id="rId41" Type="http://schemas.openxmlformats.org/officeDocument/2006/relationships/hyperlink" Target="https://www.thecovetasmania.com/accessibility-statement" TargetMode="External" /><Relationship Id="rId48" Type="http://schemas.openxmlformats.org/officeDocument/2006/relationships/hyperlink" Target="https://www.basalttasmania.com/" TargetMode="External" /><Relationship Id="rId57" Type="http://schemas.openxmlformats.org/officeDocument/2006/relationships/customXml" Target="../customXml/item1.xml" /><Relationship Id="rId58" Type="http://schemas.openxmlformats.org/officeDocument/2006/relationships/customXml" Target="../customXml/item2.xml" /><Relationship Id="rId59" Type="http://schemas.openxmlformats.org/officeDocument/2006/relationships/customXml" Target="../customXml/item3.xml" /><Relationship Id="rId60"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51"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