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Default Extension="jpeg" ContentType="image/jpeg"/>
  <Default Extension="wmf" ContentType="image/x-wmf"/>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http://schemas.openxmlformats.org/wordprocessingml/2006/main" mc:Ignorable="w14 w15 wp14">
  <w:body>
    <w:p>
      <w:pPr>
        <w:pStyle w:val="NoSpacing1"/>
        <w:pBdr>
          <w:top w:val="none" w:color="auto" w:sz="0" w:space="0"/>
          <w:left w:val="none" w:color="auto" w:sz="0" w:space="0"/>
          <w:bottom w:val="single" w:color="7F7F7F" w:sz="6" w:space="4"/>
          <w:right w:val="none" w:color="auto" w:sz="0" w:space="0"/>
          <w:between w:val="none" w:color="auto" w:sz="0" w:space="0"/>
          <w:bar w:val="none" w:color="auto" w:sz="0" w:space="0"/>
        </w:pBdr>
        <w:spacing w:line="240" w:lineRule="auto"/>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pPr>
        <w:pStyle w:val="NoSpacing1"/>
        <w:spacing w:before="240" w:line="240" w:lineRule="auto"/>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pPr>
        <w:tabs>
          <w:tab w:val="left" w:pos="5572"/>
        </w:tabs>
        <w:spacing/>
        <w:rPr/>
      </w:pPr>
      <w:r>
        <w:rPr/>
        <w:tab/>
        <w:t xml:space="preserve"/>
      </w:r>
      <w:r>
        <w:rPr/>
        <w:tab/>
        <w:t xml:space="preserve"/>
      </w:r>
    </w:p>
    <w:p>
      <w:pPr>
        <w:tabs>
          <w:tab w:val="left" w:pos="3075"/>
        </w:tabs>
        <w:spacing/>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r>
        <w:rPr/>
        <w:tab/>
        <w:t xml:space="preserve"/>
      </w:r>
    </w:p>
    <w:p>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jc w:val="left"/>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Caption w:val=""/>
        <w:tblDescription w:val=""/>
      </w:tblPr>
      <w:tblGrid>
        <w:gridCol w:w="2835"/>
        <w:gridCol w:w="5799"/>
      </w:tblGrid>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Melbourne Convention and Exhibition Centre</w:t>
            </w:r>
          </w:p>
        </w:tc>
      </w:tr>
      <w:tr>
        <w:trPr>
          <w:trHeight w:val="392"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 Convention Centre Place</w:t>
            </w:r>
          </w:p>
        </w:tc>
      </w:tr>
      <w:tr>
        <w:trPr>
          <w:trHeight w:val="60"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South Warf</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Swan Li Chew</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0392358000</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enquiries@mcec.com.au</w:t>
            </w:r>
          </w:p>
        </w:tc>
      </w:tr>
      <w:tr>
        <w:trPr>
          <w:trHeight w:val="60" w:hRule="atLeast"/>
          <w:jc w:val="lef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https://mcec.com.au/</w:t>
            </w:r>
          </w:p>
        </w:tc>
      </w:tr>
      <w:tr>
        <w:trPr>
          <w:trHeight w:val="379" w:hRule="atLeast"/>
          <w:jc w:val="left"/>
        </w:trPr>
        <w:tc>
          <w:tcPr>
            <w:tcW w:type="dxa" w:w="2835"/>
            <w:tcBorders>
              <w:top w:val="nil"/>
              <w:left w:val="nil"/>
              <w:bottom w:val="nil"/>
              <w:right w:val="nil"/>
            </w:tcBorders>
            <w:shd w:fill="FFFFFF" w:color="auto" w:val="clear"/>
            <w:hideMark xmlns:w="http://schemas.openxmlformats.org/wordprocessingml/2006/main"/>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xmlns:w="http://schemas.openxmlformats.org/wordprocessingml/2006/main"/>
          </w:tcPr>
          <w:p>
            <w:pPr>
              <w:spacing/>
              <w:rPr>
                <w:color w:val="000000"/>
                <w:sz w:val="28"/>
                <w:szCs w:val="28"/>
              </w:rPr>
            </w:pPr>
            <w:r>
              <w:rPr>
                <w:sz w:val="28"/>
                <w:szCs w:val="28"/>
              </w:rPr>
              <w:t xml:space="preserve">2026-09-08 01:51</w:t>
            </w:r>
          </w:p>
        </w:tc>
      </w:tr>
    </w:tbl>
    <w:p>
      <w:pPr>
        <w:tabs>
          <w:tab w:val="left" w:pos="3735"/>
        </w:tabs>
        <w:spacing/>
        <w:rPr>
          <w:sz w:val="28"/>
          <w:szCs w:val="28"/>
        </w:rPr>
      </w:pPr>
    </w:p>
    <w:sdt>
      <w:sdtPr>
        <w:rPr/>
        <w:id w:val="-1759435426"/>
        <w:docPartObj>
          <w:docPartGallery w:val="Table of Contents"/>
          <w:docPartUnique/>
        </w:docPartObj>
      </w:sdtPr>
      <w:sdtEndPr>
        <w:rPr>
          <w:b/>
          <w:bCs/>
          <w:noProof/>
        </w:rPr>
      </w:sdtEndPr>
      <w:sdtContent>
        <w:p>
          <w:pPr>
            <w:spacing/>
            <w:jc w:val="center"/>
            <w:rPr/>
          </w:pPr>
          <w:r>
            <w:rPr>
              <w:color w:val="2F5496"/>
              <w:sz w:val="44"/>
              <w:szCs w:val="44"/>
            </w:rPr>
            <w:t xml:space="preserve">ATIC </w:t>
          </w:r>
          <w:r>
            <w:rPr>
              <w:color w:val="2F5496"/>
              <w:sz w:val="48"/>
              <w:szCs w:val="48"/>
            </w:rPr>
            <w:t xml:space="preserve">Accessibility</w:t>
          </w:r>
        </w:p>
        <w:p>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TOC  \o "1-3" \h \z \u</w:instrText>
          </w:r>
          <w:r>
            <w:rPr/>
            <w:fldChar w:fldCharType="separate"/>
          </w:r>
          <w:hyperlink w:anchor="_Toc0000000001" w:history="1">
            <w:r>
              <w:rPr>
                <w:rStyle w:val="Hyperlink"/>
              </w:rPr>
              <w:t xml:space="preserve">OVERVIEW</w:t>
            </w:r>
            <w:r>
              <w:rPr/>
              <w:tab/>
              <w:t xml:space="preserve"/>
            </w:r>
            <w:r>
              <w:rPr/>
              <w:fldChar w:fldCharType="begin"/>
            </w:r>
            <w:r>
              <w:rPr/>
              <w:instrText>PAGEREF _Toc0000000001 \h</w:instrText>
            </w:r>
            <w:r>
              <w:rPr/>
              <w:fldChar w:fldCharType="separate"/>
            </w:r>
            <w:r>
              <w:rPr/>
              <w:t xml:space="preserve">4</w:t>
            </w:r>
            <w:r>
              <w:rPr/>
              <w:fldChar w:fldCharType="end"/>
            </w:r>
          </w:hyperlink>
        </w:p>
        <w:p>
          <w:pPr>
            <w:pStyle w:val="TOC2"/>
            <w:tabs>
              <w:tab w:val="right" w:leader="dot" w:pos="9016"/>
            </w:tabs>
            <w:spacing/>
            <w:rPr/>
          </w:pPr>
          <w:hyperlink w:anchor="_Toc0000000002" w:history="1">
            <w:r>
              <w:rPr>
                <w:rStyle w:val="Hyperlink"/>
              </w:rPr>
              <w:t xml:space="preserve">Business Overview</w:t>
            </w:r>
            <w:r>
              <w:rPr/>
              <w:tab/>
              <w:t xml:space="preserve"/>
            </w:r>
            <w:r>
              <w:rPr/>
              <w:fldChar w:fldCharType="begin"/>
            </w:r>
            <w:r>
              <w:rPr/>
              <w:instrText>PAGEREF _Toc0000000002 \h</w:instrText>
            </w:r>
            <w:r>
              <w:rPr/>
              <w:fldChar w:fldCharType="separate"/>
            </w:r>
            <w:r>
              <w:rPr/>
              <w:t xml:space="preserve">4</w:t>
            </w:r>
            <w:r>
              <w:rPr/>
              <w:fldChar w:fldCharType="end"/>
            </w:r>
          </w:hyperlink>
        </w:p>
        <w:p>
          <w:pPr>
            <w:pStyle w:val="TOC2"/>
            <w:tabs>
              <w:tab w:val="right" w:leader="dot" w:pos="9016"/>
            </w:tabs>
            <w:spacing/>
            <w:rPr/>
          </w:pPr>
          <w:hyperlink w:anchor="_Toc0000000003" w:history="1">
            <w:r>
              <w:rPr>
                <w:rStyle w:val="Hyperlink"/>
              </w:rPr>
              <w:t xml:space="preserve">Bookings</w:t>
            </w:r>
            <w:r>
              <w:rPr/>
              <w:tab/>
              <w:t xml:space="preserve"/>
            </w:r>
            <w:r>
              <w:rPr/>
              <w:fldChar w:fldCharType="begin"/>
            </w:r>
            <w:r>
              <w:rPr/>
              <w:instrText>PAGEREF _Toc0000000003 \h</w:instrText>
            </w:r>
            <w:r>
              <w:rPr/>
              <w:fldChar w:fldCharType="separate"/>
            </w:r>
            <w:r>
              <w:rPr/>
              <w:t xml:space="preserve">4</w:t>
            </w:r>
            <w:r>
              <w:rPr/>
              <w:fldChar w:fldCharType="end"/>
            </w:r>
          </w:hyperlink>
        </w:p>
        <w:p>
          <w:pPr>
            <w:pStyle w:val="TOC2"/>
            <w:tabs>
              <w:tab w:val="right" w:leader="dot" w:pos="9016"/>
            </w:tabs>
            <w:spacing/>
            <w:rPr/>
          </w:pPr>
          <w:hyperlink w:anchor="_Toc0000000004" w:history="1">
            <w:r>
              <w:rPr>
                <w:rStyle w:val="Hyperlink"/>
              </w:rPr>
              <w:t xml:space="preserve">Emergency Management</w:t>
            </w:r>
            <w:r>
              <w:rPr/>
              <w:tab/>
              <w:t xml:space="preserve"/>
            </w:r>
            <w:r>
              <w:rPr/>
              <w:fldChar w:fldCharType="begin"/>
            </w:r>
            <w:r>
              <w:rPr/>
              <w:instrText>PAGEREF _Toc0000000004 \h</w:instrText>
            </w:r>
            <w:r>
              <w:rPr/>
              <w:fldChar w:fldCharType="separate"/>
            </w:r>
            <w:r>
              <w:rPr/>
              <w:t xml:space="preserve">4</w:t>
            </w:r>
            <w:r>
              <w:rPr/>
              <w:fldChar w:fldCharType="end"/>
            </w:r>
          </w:hyperlink>
        </w:p>
        <w:p>
          <w:pPr>
            <w:pStyle w:val="TOC2"/>
            <w:tabs>
              <w:tab w:val="right" w:leader="dot" w:pos="9016"/>
            </w:tabs>
            <w:spacing/>
            <w:rPr/>
          </w:pPr>
          <w:hyperlink w:anchor="_Toc0000000005" w:history="1">
            <w:r>
              <w:rPr>
                <w:rStyle w:val="Hyperlink"/>
              </w:rPr>
              <w:t xml:space="preserve">Communications</w:t>
            </w:r>
            <w:r>
              <w:rPr/>
              <w:tab/>
              <w:t xml:space="preserve"/>
            </w:r>
            <w:r>
              <w:rPr/>
              <w:fldChar w:fldCharType="begin"/>
            </w:r>
            <w:r>
              <w:rPr/>
              <w:instrText>PAGEREF _Toc0000000005 \h</w:instrText>
            </w:r>
            <w:r>
              <w:rPr/>
              <w:fldChar w:fldCharType="separate"/>
            </w:r>
            <w:r>
              <w:rPr/>
              <w:t xml:space="preserve">5</w:t>
            </w:r>
            <w:r>
              <w:rPr/>
              <w:fldChar w:fldCharType="end"/>
            </w:r>
          </w:hyperlink>
        </w:p>
        <w:p>
          <w:pPr>
            <w:pStyle w:val="TOC2"/>
            <w:tabs>
              <w:tab w:val="right" w:leader="dot" w:pos="9016"/>
            </w:tabs>
            <w:spacing/>
            <w:rPr/>
          </w:pPr>
          <w:hyperlink w:anchor="_Toc0000000006" w:history="1">
            <w:r>
              <w:rPr>
                <w:rStyle w:val="Hyperlink"/>
              </w:rPr>
              <w:t xml:space="preserve">Other Information</w:t>
            </w:r>
            <w:r>
              <w:rPr/>
              <w:tab/>
              <w:t xml:space="preserve"/>
            </w:r>
            <w:r>
              <w:rPr/>
              <w:fldChar w:fldCharType="begin"/>
            </w:r>
            <w:r>
              <w:rPr/>
              <w:instrText>PAGEREF _Toc0000000006 \h</w:instrText>
            </w:r>
            <w:r>
              <w:rPr/>
              <w:fldChar w:fldCharType="separate"/>
            </w:r>
            <w:r>
              <w:rPr/>
              <w:t xml:space="preserve">5</w:t>
            </w:r>
            <w:r>
              <w:rPr/>
              <w:fldChar w:fldCharType="end"/>
            </w:r>
          </w:hyperlink>
        </w:p>
        <w:p>
          <w:pPr>
            <w:pStyle w:val="TOC2"/>
            <w:tabs>
              <w:tab w:val="right" w:leader="dot" w:pos="9016"/>
            </w:tabs>
            <w:spacing/>
            <w:rPr/>
          </w:pPr>
          <w:hyperlink w:anchor="_Toc0000000007" w:history="1">
            <w:r>
              <w:rPr>
                <w:rStyle w:val="Hyperlink"/>
              </w:rPr>
              <w:t xml:space="preserve">Guide Dog and Service Animals</w:t>
            </w:r>
            <w:r>
              <w:rPr/>
              <w:tab/>
              <w:t xml:space="preserve"/>
            </w:r>
            <w:r>
              <w:rPr/>
              <w:fldChar w:fldCharType="begin"/>
            </w:r>
            <w:r>
              <w:rPr/>
              <w:instrText>PAGEREF _Toc0000000007 \h</w:instrText>
            </w:r>
            <w:r>
              <w:rPr/>
              <w:fldChar w:fldCharType="separate"/>
            </w:r>
            <w:r>
              <w:rPr/>
              <w:t xml:space="preserve">5</w:t>
            </w:r>
            <w:r>
              <w:rPr/>
              <w:fldChar w:fldCharType="end"/>
            </w:r>
          </w:hyperlink>
        </w:p>
        <w:p>
          <w:pPr>
            <w:pStyle w:val="TOC1"/>
            <w:tabs>
              <w:tab w:val="right" w:leader="dot" w:pos="9016"/>
            </w:tabs>
            <w:spacing/>
            <w:rPr/>
          </w:pPr>
          <w:hyperlink w:anchor="_Toc0000000008" w:history="1">
            <w:r>
              <w:rPr>
                <w:rStyle w:val="Hyperlink"/>
              </w:rPr>
              <w:t xml:space="preserve">GENERAL</w:t>
            </w:r>
            <w:r>
              <w:rPr/>
              <w:tab/>
              <w:t xml:space="preserve"/>
            </w:r>
            <w:r>
              <w:rPr/>
              <w:fldChar w:fldCharType="begin"/>
            </w:r>
            <w:r>
              <w:rPr/>
              <w:instrText>PAGEREF _Toc0000000008 \h</w:instrText>
            </w:r>
            <w:r>
              <w:rPr/>
              <w:fldChar w:fldCharType="separate"/>
            </w:r>
            <w:r>
              <w:rPr/>
              <w:t xml:space="preserve">6</w:t>
            </w:r>
            <w:r>
              <w:rPr/>
              <w:fldChar w:fldCharType="end"/>
            </w:r>
          </w:hyperlink>
        </w:p>
        <w:p>
          <w:pPr>
            <w:pStyle w:val="TOC2"/>
            <w:tabs>
              <w:tab w:val="right" w:leader="dot" w:pos="9016"/>
            </w:tabs>
            <w:spacing/>
            <w:rPr/>
          </w:pPr>
          <w:hyperlink w:anchor="_Toc0000000009" w:history="1">
            <w:r>
              <w:rPr>
                <w:rStyle w:val="Hyperlink"/>
              </w:rPr>
              <w:t xml:space="preserve">Pre-arrival, arrival and reception</w:t>
            </w:r>
            <w:r>
              <w:rPr/>
              <w:tab/>
              <w:t xml:space="preserve"/>
            </w:r>
            <w:r>
              <w:rPr/>
              <w:fldChar w:fldCharType="begin"/>
            </w:r>
            <w:r>
              <w:rPr/>
              <w:instrText>PAGEREF _Toc0000000009 \h</w:instrText>
            </w:r>
            <w:r>
              <w:rPr/>
              <w:fldChar w:fldCharType="separate"/>
            </w:r>
            <w:r>
              <w:rPr/>
              <w:t xml:space="preserve">6</w:t>
            </w:r>
            <w:r>
              <w:rPr/>
              <w:fldChar w:fldCharType="end"/>
            </w:r>
          </w:hyperlink>
        </w:p>
        <w:p>
          <w:pPr>
            <w:pStyle w:val="TOC2"/>
            <w:tabs>
              <w:tab w:val="right" w:leader="dot" w:pos="9016"/>
            </w:tabs>
            <w:spacing/>
            <w:rPr/>
          </w:pPr>
          <w:hyperlink w:anchor="_Toc0000000010" w:history="1">
            <w:r>
              <w:rPr>
                <w:rStyle w:val="Hyperlink"/>
              </w:rPr>
              <w:t xml:space="preserve">Cognitive Impairment Support</w:t>
            </w:r>
            <w:r>
              <w:rPr/>
              <w:tab/>
              <w:t xml:space="preserve"/>
            </w:r>
            <w:r>
              <w:rPr/>
              <w:fldChar w:fldCharType="begin"/>
            </w:r>
            <w:r>
              <w:rPr/>
              <w:instrText>PAGEREF _Toc0000000010 \h</w:instrText>
            </w:r>
            <w:r>
              <w:rPr/>
              <w:fldChar w:fldCharType="separate"/>
            </w:r>
            <w:r>
              <w:rPr/>
              <w:t xml:space="preserve">6</w:t>
            </w:r>
            <w:r>
              <w:rPr/>
              <w:fldChar w:fldCharType="end"/>
            </w:r>
          </w:hyperlink>
        </w:p>
        <w:p>
          <w:pPr>
            <w:pStyle w:val="TOC2"/>
            <w:tabs>
              <w:tab w:val="right" w:leader="dot" w:pos="9016"/>
            </w:tabs>
            <w:spacing/>
            <w:rPr/>
          </w:pPr>
          <w:hyperlink w:anchor="_Toc0000000011" w:history="1">
            <w:r>
              <w:rPr>
                <w:rStyle w:val="Hyperlink"/>
              </w:rPr>
              <w:t xml:space="preserve">Car Park and Access amenities</w:t>
            </w:r>
            <w:r>
              <w:rPr/>
              <w:tab/>
              <w:t xml:space="preserve"/>
            </w:r>
            <w:r>
              <w:rPr/>
              <w:fldChar w:fldCharType="begin"/>
            </w:r>
            <w:r>
              <w:rPr/>
              <w:instrText>PAGEREF _Toc0000000011 \h</w:instrText>
            </w:r>
            <w:r>
              <w:rPr/>
              <w:fldChar w:fldCharType="separate"/>
            </w:r>
            <w:r>
              <w:rPr/>
              <w:t xml:space="preserve">6</w:t>
            </w:r>
            <w:r>
              <w:rPr/>
              <w:fldChar w:fldCharType="end"/>
            </w:r>
          </w:hyperlink>
        </w:p>
        <w:p>
          <w:pPr>
            <w:pStyle w:val="TOC2"/>
            <w:tabs>
              <w:tab w:val="right" w:leader="dot" w:pos="9016"/>
            </w:tabs>
            <w:spacing/>
            <w:rPr/>
          </w:pPr>
          <w:hyperlink w:anchor="_Toc0000000012" w:history="1">
            <w:r>
              <w:rPr>
                <w:rStyle w:val="Hyperlink"/>
              </w:rPr>
              <w:t xml:space="preserve">Public areas</w:t>
            </w:r>
            <w:r>
              <w:rPr/>
              <w:tab/>
              <w:t xml:space="preserve"/>
            </w:r>
            <w:r>
              <w:rPr/>
              <w:fldChar w:fldCharType="begin"/>
            </w:r>
            <w:r>
              <w:rPr/>
              <w:instrText>PAGEREF _Toc0000000012 \h</w:instrText>
            </w:r>
            <w:r>
              <w:rPr/>
              <w:fldChar w:fldCharType="separate"/>
            </w:r>
            <w:r>
              <w:rPr/>
              <w:t xml:space="preserve">10</w:t>
            </w:r>
            <w:r>
              <w:rPr/>
              <w:fldChar w:fldCharType="end"/>
            </w:r>
          </w:hyperlink>
        </w:p>
        <w:p>
          <w:pPr>
            <w:pStyle w:val="TOC2"/>
            <w:tabs>
              <w:tab w:val="right" w:leader="dot" w:pos="9016"/>
            </w:tabs>
            <w:spacing/>
            <w:rPr/>
          </w:pPr>
          <w:hyperlink w:anchor="_Toc0000000013" w:history="1">
            <w:r>
              <w:rPr>
                <w:rStyle w:val="Hyperlink"/>
              </w:rPr>
              <w:t xml:space="preserve">External Paths</w:t>
            </w:r>
            <w:r>
              <w:rPr/>
              <w:tab/>
              <w:t xml:space="preserve"/>
            </w:r>
            <w:r>
              <w:rPr/>
              <w:fldChar w:fldCharType="begin"/>
            </w:r>
            <w:r>
              <w:rPr/>
              <w:instrText>PAGEREF _Toc0000000013 \h</w:instrText>
            </w:r>
            <w:r>
              <w:rPr/>
              <w:fldChar w:fldCharType="separate"/>
            </w:r>
            <w:r>
              <w:rPr/>
              <w:t xml:space="preserve">10</w:t>
            </w:r>
            <w:r>
              <w:rPr/>
              <w:fldChar w:fldCharType="end"/>
            </w:r>
          </w:hyperlink>
        </w:p>
        <w:p>
          <w:pPr>
            <w:pStyle w:val="TOC2"/>
            <w:tabs>
              <w:tab w:val="right" w:leader="dot" w:pos="9016"/>
            </w:tabs>
            <w:spacing/>
            <w:rPr/>
          </w:pPr>
          <w:hyperlink w:anchor="_Toc0000000014" w:history="1">
            <w:r>
              <w:rPr>
                <w:rStyle w:val="Hyperlink"/>
              </w:rPr>
              <w:t xml:space="preserve">Steps</w:t>
            </w:r>
            <w:r>
              <w:rPr/>
              <w:tab/>
              <w:t xml:space="preserve"/>
            </w:r>
            <w:r>
              <w:rPr/>
              <w:fldChar w:fldCharType="begin"/>
            </w:r>
            <w:r>
              <w:rPr/>
              <w:instrText>PAGEREF _Toc0000000014 \h</w:instrText>
            </w:r>
            <w:r>
              <w:rPr/>
              <w:fldChar w:fldCharType="separate"/>
            </w:r>
            <w:r>
              <w:rPr/>
              <w:t xml:space="preserve">10</w:t>
            </w:r>
            <w:r>
              <w:rPr/>
              <w:fldChar w:fldCharType="end"/>
            </w:r>
          </w:hyperlink>
        </w:p>
        <w:p>
          <w:pPr>
            <w:pStyle w:val="TOC2"/>
            <w:tabs>
              <w:tab w:val="right" w:leader="dot" w:pos="9016"/>
            </w:tabs>
            <w:spacing/>
            <w:rPr/>
          </w:pPr>
          <w:hyperlink w:anchor="_Toc0000000015" w:history="1">
            <w:r>
              <w:rPr>
                <w:rStyle w:val="Hyperlink"/>
              </w:rPr>
              <w:t xml:space="preserve">Ramps</w:t>
            </w:r>
            <w:r>
              <w:rPr/>
              <w:tab/>
              <w:t xml:space="preserve"/>
            </w:r>
            <w:r>
              <w:rPr/>
              <w:fldChar w:fldCharType="begin"/>
            </w:r>
            <w:r>
              <w:rPr/>
              <w:instrText>PAGEREF _Toc0000000015 \h</w:instrText>
            </w:r>
            <w:r>
              <w:rPr/>
              <w:fldChar w:fldCharType="separate"/>
            </w:r>
            <w:r>
              <w:rPr/>
              <w:t xml:space="preserve">10</w:t>
            </w:r>
            <w:r>
              <w:rPr/>
              <w:fldChar w:fldCharType="end"/>
            </w:r>
          </w:hyperlink>
        </w:p>
        <w:p>
          <w:pPr>
            <w:pStyle w:val="TOC2"/>
            <w:tabs>
              <w:tab w:val="right" w:leader="dot" w:pos="9016"/>
            </w:tabs>
            <w:spacing/>
            <w:rPr/>
          </w:pPr>
          <w:hyperlink w:anchor="_Toc0000000016" w:history="1">
            <w:r>
              <w:rPr>
                <w:rStyle w:val="Hyperlink"/>
              </w:rPr>
              <w:t xml:space="preserve">Public Toilets/Adult change facilities</w:t>
            </w:r>
            <w:r>
              <w:rPr/>
              <w:tab/>
              <w:t xml:space="preserve"/>
            </w:r>
            <w:r>
              <w:rPr/>
              <w:fldChar w:fldCharType="begin"/>
            </w:r>
            <w:r>
              <w:rPr/>
              <w:instrText>PAGEREF _Toc0000000016 \h</w:instrText>
            </w:r>
            <w:r>
              <w:rPr/>
              <w:fldChar w:fldCharType="separate"/>
            </w:r>
            <w:r>
              <w:rPr/>
              <w:t xml:space="preserve">11</w:t>
            </w:r>
            <w:r>
              <w:rPr/>
              <w:fldChar w:fldCharType="end"/>
            </w:r>
          </w:hyperlink>
        </w:p>
        <w:p>
          <w:pPr>
            <w:pStyle w:val="TOC2"/>
            <w:tabs>
              <w:tab w:val="right" w:leader="dot" w:pos="9016"/>
            </w:tabs>
            <w:spacing/>
            <w:rPr/>
          </w:pPr>
          <w:hyperlink w:anchor="_Toc0000000017" w:history="1">
            <w:r>
              <w:rPr>
                <w:rStyle w:val="Hyperlink"/>
              </w:rPr>
              <w:t xml:space="preserve">Report Disclaimer</w:t>
            </w:r>
            <w:r>
              <w:rPr/>
              <w:tab/>
              <w:t xml:space="preserve"/>
            </w:r>
            <w:r>
              <w:rPr/>
              <w:fldChar w:fldCharType="begin"/>
            </w:r>
            <w:r>
              <w:rPr/>
              <w:instrText>PAGEREF _Toc0000000017 \h</w:instrText>
            </w:r>
            <w:r>
              <w:rPr/>
              <w:fldChar w:fldCharType="separate"/>
            </w:r>
            <w:r>
              <w:rPr/>
              <w:t xml:space="preserve">13</w:t>
            </w:r>
            <w:r>
              <w:rPr/>
              <w:fldChar w:fldCharType="end"/>
            </w:r>
          </w:hyperlink>
        </w:p>
        <w:p>
          <w:pPr>
            <w:spacing/>
            <w:rPr>
              <w:b/>
              <w:bCs/>
              <w:noProof/>
            </w:rPr>
          </w:pPr>
          <w:r>
            <w:rPr/>
            <w:fldChar w:fldCharType="end"/>
          </w:r>
        </w:p>
      </w:sdtContent>
    </w:sdt>
    <w:p>
      <w:pPr>
        <w:spacing/>
        <w:rPr>
          <w:rFonts w:cs="Times New Roman"/>
          <w:b/>
          <w:sz w:val="20"/>
        </w:rPr>
      </w:pPr>
      <w:bookmarkStart w:id="4" w:name="TemplateTable"/>
      <w:bookmarkEnd w:id="3"/>
      <w:bookmarkEnd w:id="4"/>
    </w:p>
    <w:p>
      <w:pPr>
        <w:spacing w:before="120" w:line="256" w:lineRule="auto"/>
        <w:rPr>
          <w:rFonts w:cs="Times New Roman"/>
          <w:b/>
          <w:sz w:val="20"/>
        </w:rPr>
      </w:pPr>
    </w:p>
    <w:p>
      <w:pPr>
        <w:pStyle w:val="Heading1"/>
        <w:spacing w:line="420" w:lineRule="exact"/>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Our business caters for the following disability types:</w:t>
      </w:r>
    </w:p>
    <w:p>
      <w:pPr>
        <w:pStyle w:val="ListBullet"/>
        <w:numPr>
          <w:ilvl w:val="0"/>
          <w:numId w:val="37"/>
        </w:numPr>
        <w:spacing/>
        <w:rPr/>
      </w:pPr>
      <w:r>
        <w:rPr/>
        <w:t xml:space="preserve">Blind or low vision</w:t>
      </w:r>
    </w:p>
    <w:p>
      <w:pPr>
        <w:pStyle w:val="ListBullet"/>
        <w:numPr>
          <w:ilvl w:val="0"/>
          <w:numId w:val="37"/>
        </w:numPr>
        <w:spacing/>
        <w:rPr/>
      </w:pPr>
      <w:r>
        <w:rPr/>
        <w:t xml:space="preserve">Deaf or low hearing</w:t>
      </w:r>
    </w:p>
    <w:p>
      <w:pPr>
        <w:pStyle w:val="ListBullet"/>
        <w:numPr>
          <w:ilvl w:val="0"/>
          <w:numId w:val="37"/>
        </w:numPr>
        <w:spacing/>
        <w:rPr/>
      </w:pPr>
      <w:r>
        <w:rPr/>
        <w:t xml:space="preserve">Limited mobility</w:t>
      </w:r>
    </w:p>
    <w:p>
      <w:pPr>
        <w:pStyle w:val="ListBullet"/>
        <w:numPr>
          <w:ilvl w:val="0"/>
          <w:numId w:val="37"/>
        </w:numPr>
        <w:spacing/>
        <w:rPr/>
      </w:pPr>
      <w:r>
        <w:rPr/>
        <w:t xml:space="preserve">Wheelchairs or mobility scooters</w:t>
      </w:r>
    </w:p>
    <w:p>
      <w:pPr>
        <w:pStyle w:val="ListBullet"/>
        <w:numPr>
          <w:ilvl w:val="0"/>
          <w:numId w:val="37"/>
        </w:numPr>
        <w:spacing/>
        <w:rPr/>
      </w:pPr>
      <w:r>
        <w:rPr/>
        <w:t xml:space="preserve">Food allergies or intolerances</w:t>
      </w:r>
    </w:p>
    <w:p>
      <w:pPr>
        <w:pStyle w:val="ListBullet"/>
        <w:numPr>
          <w:ilvl w:val="0"/>
          <w:numId w:val="37"/>
        </w:numPr>
        <w:spacing/>
        <w:rPr/>
      </w:pPr>
      <w:r>
        <w:rPr/>
        <w:t xml:space="preserve">Cognitive or people on the Autism Spectrum</w:t>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7"/>
        </w:numPr>
        <w:spacing/>
        <w:rPr/>
      </w:pPr>
      <w:r>
        <w:rPr/>
        <w:t xml:space="preserve">Phone</w:t>
      </w:r>
    </w:p>
    <w:p>
      <w:pPr>
        <w:pStyle w:val="ListBullet"/>
        <w:numPr>
          <w:ilvl w:val="0"/>
          <w:numId w:val="37"/>
        </w:numPr>
        <w:spacing/>
        <w:rPr/>
      </w:pPr>
      <w:r>
        <w:rPr/>
        <w:t xml:space="preserve">Email</w:t>
      </w:r>
    </w:p>
    <w:p>
      <w:pPr>
        <w:pStyle w:val="ListBullet"/>
        <w:numPr>
          <w:ilvl w:val="0"/>
          <w:numId w:val="37"/>
        </w:numPr>
        <w:spacing/>
        <w:rPr/>
      </w:pPr>
      <w:r>
        <w:rPr/>
        <w:t xml:space="preserve">Webportal</w:t>
      </w:r>
    </w:p>
    <w:p>
      <w:pPr>
        <w:pStyle w:val="ListBullet"/>
        <w:numPr>
          <w:ilvl w:val="0"/>
          <w:numId w:val="37"/>
        </w:numPr>
        <w:spacing/>
        <w:rPr/>
      </w:pPr>
      <w:r>
        <w:rPr/>
        <w:t xml:space="preserve">Our website supports Screen Readers</w:t>
      </w:r>
    </w:p>
    <w:p>
      <w:pPr>
        <w:pStyle w:val="ListBullet"/>
        <w:numPr>
          <w:ilvl w:val="0"/>
          <w:numId w:val="37"/>
        </w:numPr>
        <w:spacing/>
        <w:rPr/>
      </w:pPr>
      <w:r>
        <w:rPr/>
        <w:t xml:space="preserve">Our forms have high contract boxes and submit boxes</w:t>
      </w:r>
    </w:p>
    <w:p>
      <w:pPr>
        <w:pStyle w:val="ListBullet"/>
        <w:numPr>
          <w:ilvl w:val="0"/>
          <w:numId w:val="37"/>
        </w:numPr>
        <w:spacing/>
        <w:rPr/>
      </w:pPr>
      <w:r>
        <w:rPr/>
        <w:t xml:space="preserve">Staff have undergone disability awareness and training</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7"/>
        </w:numPr>
        <w:spacing/>
        <w:rPr/>
      </w:pPr>
      <w:r>
        <w:rPr/>
        <w:t xml:space="preserve">The business has an emergency management and evacuation plan for guests with a disability</w:t>
      </w:r>
    </w:p>
    <w:p>
      <w:pPr>
        <w:pStyle w:val="ListBullet"/>
        <w:numPr>
          <w:ilvl w:val="0"/>
          <w:numId w:val="37"/>
        </w:numPr>
        <w:spacing/>
        <w:rPr/>
      </w:pPr>
      <w:r>
        <w:rPr/>
        <w:t xml:space="preserve">Emergency and evacuation procedures are explained on arrival</w:t>
      </w:r>
    </w:p>
    <w:p>
      <w:pPr>
        <w:pBdr/>
        <w:spacing/>
        <w:rPr>
          <w:sz w:val="24"/>
        </w:rPr>
      </w:pPr>
      <w:r>
        <w:rPr>
          <w:sz w:val="24"/>
        </w:rPr>
        <w:t xml:space="preserve">We ensure exit access is free and clear at all times by: The operations manual, which is provided to event organisers to help plan and deliver their event at MCEC, contains specific instruction to keep access to fire emergency exits, hydrants, electrical cupboards, air returns and sensors at all times. A final inspection is carried out by the MCEC Operations Manager prior to the event opening to ensure all safety requirement are being met, including ensuring emergency exists are clear and accessible.</w:t>
      </w:r>
    </w:p>
    <w:p>
      <w:pPr>
        <w:pStyle w:val="ListBullet"/>
        <w:numPr>
          <w:ilvl w:val="0"/>
          <w:numId w:val="37"/>
        </w:numPr>
        <w:spacing/>
        <w:rPr/>
      </w:pPr>
      <w:r>
        <w:rPr/>
        <w:t xml:space="preserve">There is an emergency refuge that has an intercommunication system linked and has sufficient fire resistance levels.</w:t>
      </w:r>
    </w:p>
    <w:p>
      <w:pPr>
        <w:pStyle w:val="ListBullet"/>
        <w:numPr>
          <w:ilvl w:val="0"/>
          <w:numId w:val="37"/>
        </w:numPr>
        <w:spacing/>
        <w:rPr/>
      </w:pPr>
      <w:r>
        <w:rPr/>
        <w:t xml:space="preserve">Exits including stairwells, have bright edges used on the steps.</w:t>
      </w:r>
    </w:p>
    <w:p>
      <w:pPr>
        <w:pStyle w:val="ListBullet"/>
        <w:numPr>
          <w:ilvl w:val="0"/>
          <w:numId w:val="37"/>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7"/>
        </w:numPr>
        <w:spacing/>
        <w:rPr/>
      </w:pPr>
      <w:r>
        <w:rPr/>
        <w:t xml:space="preserve">An accessibility guide is available on the website</w:t>
      </w:r>
    </w:p>
    <w:p>
      <w:pPr>
        <w:pBdr/>
        <w:spacing/>
        <w:rPr>
          <w:sz w:val="24"/>
        </w:rPr>
      </w:pPr>
      <w:hyperlink r:id="rId19" w:history="1">
        <w:r>
          <w:rPr>
            <w:rStyle w:val="Hyperlink"/>
            <w:sz w:val="24"/>
          </w:rPr>
          <w:t xml:space="preserve">https://www.mcec.com.au/plan-your-visit#accessibility</w:t>
        </w:r>
      </w:hyperlink>
    </w:p>
    <w:p>
      <w:pPr>
        <w:pStyle w:val="ListBullet"/>
        <w:numPr>
          <w:ilvl w:val="0"/>
          <w:numId w:val="37"/>
        </w:numPr>
        <w:spacing/>
        <w:rPr/>
      </w:pPr>
      <w:r>
        <w:rPr/>
        <w:t xml:space="preserve">Our website meets WCAG 2.0 accessibility standards</w:t>
      </w:r>
    </w:p>
    <w:p>
      <w:pPr>
        <w:pStyle w:val="ListBullet"/>
        <w:numPr>
          <w:ilvl w:val="0"/>
          <w:numId w:val="37"/>
        </w:numPr>
        <w:spacing/>
        <w:rPr/>
      </w:pPr>
      <w:r>
        <w:rPr/>
        <w:t xml:space="preserve">Our business offers the following alternative communication methods</w:t>
      </w:r>
    </w:p>
    <w:p>
      <w:pPr>
        <w:pStyle w:val="ListBullet"/>
        <w:numPr>
          <w:ilvl w:val="0"/>
          <w:numId w:val="37"/>
        </w:numPr>
        <w:spacing/>
        <w:rPr/>
      </w:pPr>
      <w:r>
        <w:rPr/>
        <w:t xml:space="preserve">Plain English</w:t>
      </w:r>
    </w:p>
    <w:p>
      <w:pPr>
        <w:pStyle w:val="ListBullet"/>
        <w:numPr>
          <w:ilvl w:val="0"/>
          <w:numId w:val="37"/>
        </w:numPr>
        <w:spacing/>
        <w:rPr/>
      </w:pPr>
      <w:r>
        <w:rPr/>
        <w:t xml:space="preserve">Braille Displays</w:t>
      </w:r>
    </w:p>
    <w:p>
      <w:pPr>
        <w:pStyle w:val="ListBullet"/>
        <w:numPr>
          <w:ilvl w:val="0"/>
          <w:numId w:val="37"/>
        </w:numPr>
        <w:spacing/>
        <w:rPr/>
      </w:pPr>
      <w:r>
        <w:rPr/>
        <w:t xml:space="preserve">There is easy to read signage and information (e.g. menus and emergency information)</w:t>
      </w:r>
    </w:p>
    <w:p>
      <w:pPr>
        <w:pStyle w:val="ListBullet"/>
        <w:numPr>
          <w:ilvl w:val="0"/>
          <w:numId w:val="37"/>
        </w:numPr>
        <w:spacing/>
        <w:rPr/>
      </w:pPr>
      <w:r>
        <w:rPr/>
        <w:t xml:space="preserve">There is a Pictorial menu</w:t>
      </w:r>
    </w:p>
    <w:p>
      <w:pPr>
        <w:pBdr/>
        <w:spacing/>
        <w:rPr>
          <w:sz w:val="24"/>
        </w:rPr>
      </w:pPr>
      <w:r>
        <w:rPr>
          <w:sz w:val="24"/>
        </w:rPr>
        <w:t xml:space="preserve">Hearing loop in all event spaces</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7"/>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7"/>
        </w:numPr>
        <w:spacing/>
        <w:rPr/>
      </w:pPr>
      <w:r>
        <w:rPr/>
        <w:t xml:space="preserve">The business provides a secure area with shade and water for service animals</w:t>
      </w:r>
    </w:p>
    <w:p>
      <w:pPr>
        <w:pStyle w:val="ListBullet"/>
        <w:numPr>
          <w:ilvl w:val="0"/>
          <w:numId w:val="37"/>
        </w:numPr>
        <w:spacing/>
        <w:rPr/>
      </w:pPr>
      <w:r>
        <w:rPr/>
        <w:t xml:space="preserve">The business provides a toilet area for service animals</w:t>
      </w:r>
    </w:p>
    <w:p>
      <w:pPr>
        <w:pStyle w:val="ListBullet"/>
        <w:numPr>
          <w:ilvl w:val="0"/>
          <w:numId w:val="37"/>
        </w:numPr>
        <w:spacing/>
        <w:rPr/>
      </w:pPr>
      <w:r>
        <w:rPr/>
        <w:t xml:space="preserve">Bowls, bedding, etc. are provided for service animals</w:t>
      </w:r>
    </w:p>
    <w:p>
      <w:pPr>
        <w:pBdr/>
        <w:spacing/>
        <w:rPr>
          <w:sz w:val="24"/>
        </w:rPr>
      </w:pPr>
      <w:r>
        <w:rPr>
          <w:sz w:val="24"/>
        </w:rPr>
        <w:t xml:space="preserve">The business provides the following services for services animals: We offer a grassed area with shade, outside our venue. Water is provided as requested The area is not secure, however arrangements could be made for that at the customers request.</w:t>
      </w:r>
    </w:p>
    <w:p>
      <w:pPr>
        <w:pStyle w:val="Heading1"/>
        <w:spacing w:line="420" w:lineRule="exact"/>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7"/>
        </w:numPr>
        <w:spacing/>
        <w:rPr/>
      </w:pPr>
      <w:r>
        <w:rPr/>
        <w:t xml:space="preserve">Booking information and websites are compatible with screen readers</w:t>
      </w:r>
    </w:p>
    <w:p>
      <w:pPr>
        <w:pStyle w:val="ListBullet"/>
        <w:numPr>
          <w:ilvl w:val="0"/>
          <w:numId w:val="37"/>
        </w:numPr>
        <w:spacing/>
        <w:rPr/>
      </w:pPr>
      <w:r>
        <w:rPr/>
        <w:t xml:space="preserve">There is a reception/public entryway.</w:t>
      </w:r>
    </w:p>
    <w:p>
      <w:pPr>
        <w:pStyle w:val="ListBullet"/>
        <w:numPr>
          <w:ilvl w:val="0"/>
          <w:numId w:val="37"/>
        </w:numPr>
        <w:spacing/>
        <w:rPr/>
      </w:pPr>
      <w:r>
        <w:rPr/>
        <w:t xml:space="preserve">Seating available at reception</w:t>
      </w:r>
    </w:p>
    <w:p>
      <w:pPr>
        <w:pStyle w:val="ListBullet"/>
        <w:numPr>
          <w:ilvl w:val="0"/>
          <w:numId w:val="37"/>
        </w:numPr>
        <w:spacing/>
        <w:rPr/>
      </w:pPr>
      <w:r>
        <w:rPr/>
        <w:t xml:space="preserve">A lower counter at reception/ticket office</w:t>
      </w:r>
    </w:p>
    <w:p>
      <w:pPr>
        <w:pStyle w:val="ListBullet"/>
        <w:numPr>
          <w:ilvl w:val="0"/>
          <w:numId w:val="37"/>
        </w:numPr>
        <w:spacing/>
        <w:rPr/>
      </w:pPr>
      <w:r>
        <w:rPr/>
        <w:t xml:space="preserve">A tablet with text to voice or pen and paper at reception to aid in communication</w:t>
      </w:r>
    </w:p>
    <w:p>
      <w:pPr>
        <w:pStyle w:val="ListBullet"/>
        <w:numPr>
          <w:ilvl w:val="0"/>
          <w:numId w:val="37"/>
        </w:numPr>
        <w:spacing/>
        <w:rPr/>
      </w:pPr>
      <w:r>
        <w:rPr/>
        <w:t xml:space="preserve">Hearing loop fitted to the reception area</w:t>
      </w:r>
    </w:p>
    <w:p>
      <w:pPr>
        <w:pStyle w:val="ListBullet"/>
        <w:numPr>
          <w:ilvl w:val="0"/>
          <w:numId w:val="37"/>
        </w:numPr>
        <w:spacing/>
        <w:rPr/>
      </w:pPr>
      <w:r>
        <w:rPr/>
        <w:t xml:space="preserve">Lighting in the reception area is even and glare free</w:t>
      </w:r>
    </w:p>
    <w:p>
      <w:pPr>
        <w:pStyle w:val="ListBullet"/>
        <w:numPr>
          <w:ilvl w:val="0"/>
          <w:numId w:val="37"/>
        </w:numPr>
        <w:spacing/>
        <w:rPr/>
      </w:pPr>
      <w:r>
        <w:rPr/>
        <w:t xml:space="preserve">Large print information sheets and registration forms</w:t>
      </w:r>
    </w:p>
    <w:p>
      <w:pPr>
        <w:pBdr/>
        <w:spacing/>
        <w:rPr>
          <w:sz w:val="24"/>
        </w:rPr>
      </w:pPr>
      <w:r>
        <w:rPr>
          <w:sz w:val="24"/>
        </w:rPr>
        <w:t xml:space="preserve">MCEC are not responsible for the sale of any tickets, this is the responsibility of the customer organising the event</w:t>
      </w:r>
    </w:p>
    <w:p>
      <w:pPr>
        <w:pStyle w:val="ListBullet"/>
        <w:numPr>
          <w:ilvl w:val="0"/>
          <w:numId w:val="37"/>
        </w:numPr>
        <w:spacing/>
        <w:rPr/>
      </w:pPr>
      <w:r>
        <w:rPr/>
        <w:t xml:space="preserve">Information and maps are available in written form</w:t>
      </w:r>
    </w:p>
    <w:p>
      <w:pPr>
        <w:pStyle w:val="ListBullet"/>
        <w:numPr>
          <w:ilvl w:val="0"/>
          <w:numId w:val="37"/>
        </w:numPr>
        <w:spacing/>
        <w:rPr/>
      </w:pPr>
      <w:r>
        <w:rPr/>
        <w:t xml:space="preserve">A facility map and information is available in Braille</w:t>
      </w:r>
    </w:p>
    <w:p>
      <w:pPr>
        <w:pStyle w:val="ListBullet"/>
        <w:numPr>
          <w:ilvl w:val="0"/>
          <w:numId w:val="37"/>
        </w:numPr>
        <w:spacing/>
        <w:rPr/>
      </w:pPr>
      <w:r>
        <w:rPr/>
        <w:t xml:space="preserve">A familiarisation tour</w:t>
      </w:r>
    </w:p>
    <w:p>
      <w:pPr>
        <w:pBdr/>
        <w:spacing/>
        <w:rPr>
          <w:sz w:val="24"/>
        </w:rPr>
      </w:pPr>
      <w:r>
        <w:rPr>
          <w:sz w:val="24"/>
        </w:rPr>
        <w:t xml:space="preserve">The following steps are in place to ensure that people with fatigue related to their disability are not disadvantaged by long wait times: We can support an event organiser to offer extra seating and quiet spaces. The event organiser is responsible for ticketing and would need to arrange any priority queuing options. Our security personnel can support any requests for priority lines.</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7"/>
        </w:numPr>
        <w:spacing/>
        <w:rPr/>
      </w:pPr>
      <w:r>
        <w:rPr/>
        <w:t xml:space="preserve">Documents are available in plain English for people with cognitive impairment (This may include instructions, guides, menus and general information)</w:t>
      </w:r>
    </w:p>
    <w:p>
      <w:pPr>
        <w:pStyle w:val="ListBullet"/>
        <w:numPr>
          <w:ilvl w:val="0"/>
          <w:numId w:val="37"/>
        </w:numPr>
        <w:spacing/>
        <w:rPr/>
      </w:pPr>
      <w:r>
        <w:rPr/>
        <w:t xml:space="preserve">A space for parents and children on the Autism Spectrum</w:t>
      </w:r>
    </w:p>
    <w:p>
      <w:pPr>
        <w:pStyle w:val="ListBullet"/>
        <w:numPr>
          <w:ilvl w:val="0"/>
          <w:numId w:val="37"/>
        </w:numPr>
        <w:spacing/>
        <w:rPr/>
      </w:pPr>
      <w:r>
        <w:rPr/>
        <w:t xml:space="preserve">Access has alternative procedures and clear written instructions with universal access symbols</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7"/>
        </w:numPr>
        <w:spacing/>
        <w:rPr/>
      </w:pPr>
      <w:r>
        <w:rPr/>
        <w:t xml:space="preserve">A drop off zone</w:t>
      </w:r>
    </w:p>
    <w:p>
      <w:pPr>
        <w:pStyle w:val="ListBullet"/>
        <w:numPr>
          <w:ilvl w:val="0"/>
          <w:numId w:val="37"/>
        </w:numPr>
        <w:spacing/>
        <w:rPr/>
      </w:pPr>
      <w:r>
        <w:rPr/>
        <w:t xml:space="preserve">Designated disabled parking bays</w:t>
      </w:r>
    </w:p>
    <w:p>
      <w:pPr>
        <w:pStyle w:val="ListBullet"/>
        <w:numPr>
          <w:ilvl w:val="0"/>
          <w:numId w:val="37"/>
        </w:numPr>
        <w:spacing/>
        <w:rPr/>
      </w:pPr>
      <w:r>
        <w:rPr/>
        <w:t xml:space="preserve">Level or ramped access from the car park to the entrance</w:t>
      </w:r>
    </w:p>
    <w:p>
      <w:pPr>
        <w:pStyle w:val="ListBullet"/>
        <w:numPr>
          <w:ilvl w:val="0"/>
          <w:numId w:val="37"/>
        </w:numPr>
        <w:spacing/>
        <w:rPr/>
      </w:pPr>
      <w:r>
        <w:rPr/>
        <w:t xml:space="preserve">The accessible entrance is clearly signed from the parking bay</w:t>
      </w:r>
    </w:p>
    <w:p>
      <w:pPr>
        <w:pStyle w:val="ListBullet"/>
        <w:numPr>
          <w:ilvl w:val="0"/>
          <w:numId w:val="37"/>
        </w:numPr>
        <w:spacing/>
        <w:rPr/>
      </w:pPr>
      <w:r>
        <w:rPr/>
        <w:t xml:space="preserve">The public transport services available are:</w:t>
      </w:r>
    </w:p>
    <w:p>
      <w:pPr>
        <w:pBdr/>
        <w:spacing/>
        <w:rPr>
          <w:sz w:val="24"/>
        </w:rPr>
      </w:pPr>
      <w:r>
        <w:rPr>
          <w:sz w:val="24"/>
        </w:rPr>
        <w:t xml:space="preserve">We have two customer service desks plus team members throughout the building which can direct people to public transport.</w:t>
      </w:r>
    </w:p>
    <w:p>
      <w:pPr>
        <w:pStyle w:val="ListBullet"/>
        <w:numPr>
          <w:ilvl w:val="0"/>
          <w:numId w:val="37"/>
        </w:numPr>
        <w:spacing/>
        <w:rPr/>
      </w:pPr>
      <w:r>
        <w:rPr/>
        <w:t xml:space="preserve">Kerb ramps are in place where a pavement or walkway needs to be crossed</w:t>
      </w:r>
    </w:p>
    <w:p>
      <w:pPr>
        <w:pStyle w:val="ListBullet"/>
        <w:numPr>
          <w:ilvl w:val="0"/>
          <w:numId w:val="37"/>
        </w:numPr>
        <w:spacing/>
        <w:rPr/>
      </w:pPr>
      <w:r>
        <w:rPr/>
        <w:t xml:space="preserve">An intercom system is available at the entrance of car park</w:t>
      </w:r>
    </w:p>
    <w:p>
      <w:pPr>
        <w:pStyle w:val="ListBullet"/>
        <w:numPr>
          <w:ilvl w:val="0"/>
          <w:numId w:val="37"/>
        </w:numPr>
        <w:spacing/>
        <w:rPr/>
      </w:pPr>
      <w:r>
        <w:rPr/>
        <w:t xml:space="preserve">Instructions on how to use the system are in Plan English and accompanied by Universal design standard pictures</w:t>
      </w:r>
    </w:p>
    <w:p>
      <w:pPr>
        <w:pStyle w:val="ListBullet"/>
        <w:numPr>
          <w:ilvl w:val="0"/>
          <w:numId w:val="37"/>
        </w:numPr>
        <w:spacing/>
        <w:rPr/>
      </w:pPr>
      <w:r>
        <w:rPr/>
        <w:t xml:space="preserve">In addition, the following further information can assist guests:</w:t>
      </w:r>
    </w:p>
    <w:p>
      <w:pPr>
        <w:spacing/>
        <w:rPr/>
      </w:pPr>
      <w:r>
        <w:rPr/>
        <w:t xml:space="preserve">All automatic pay machines are installed in accordance with all Australian law &amp; Australian standards. This takes into account the card slot, coin slot, cash slot and "help button" heights, visibility, audibility and dimensions. </w:t>
      </w:r>
    </w:p>
    <w:p>
      <w:pPr>
        <w:pStyle w:val="Subtitle"/>
        <w:spacing/>
        <w:rPr/>
      </w:pPr>
      <w:r>
        <w:rPr/>
        <w:t xml:space="preserve">Lift Location: Exhibition Building - behind the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6</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Exhibition Building - adjacent stair 10</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behind Plenary Cafe</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Subtitle"/>
        <w:spacing/>
        <w:rPr/>
      </w:pPr>
      <w:r>
        <w:rPr/>
        <w:t xml:space="preserve">Lift Location: Convention Centre Building - Adjacent Plenary Door 8</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audio floor announcements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Near Lobby Door B Entry facing Pan Pacific Hotl</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There is an external tactile or braille floor indicator near the lift call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VIP lift at Plenary </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There is a handrail of a minimum length of 600mm</w:t>
      </w:r>
    </w:p>
    <w:p>
      <w:pPr>
        <w:pStyle w:val="Subtitle"/>
        <w:spacing/>
        <w:rPr/>
      </w:pPr>
      <w:r>
        <w:rPr/>
        <w:t xml:space="preserve">Lift Location: Convention Centre Building - adjacent Goldfields Customer Service Desk</w:t>
      </w:r>
    </w:p>
    <w:p>
      <w:pPr>
        <w:pStyle w:val="ListBullet"/>
        <w:numPr>
          <w:ilvl w:val="0"/>
          <w:numId w:val="37"/>
        </w:numPr>
        <w:spacing/>
        <w:rPr/>
      </w:pPr>
      <w:r>
        <w:rPr/>
        <w:t xml:space="preserve">This lift is available to all public floors</w:t>
      </w:r>
    </w:p>
    <w:p>
      <w:pPr>
        <w:pStyle w:val="ListBullet"/>
        <w:numPr>
          <w:ilvl w:val="0"/>
          <w:numId w:val="37"/>
        </w:numPr>
        <w:spacing/>
        <w:rPr/>
      </w:pPr>
      <w:r>
        <w:rPr/>
        <w:t xml:space="preserve">The lift contains a visual method of identifying the floor level</w:t>
      </w:r>
    </w:p>
    <w:p>
      <w:pPr>
        <w:pStyle w:val="ListBullet"/>
        <w:numPr>
          <w:ilvl w:val="0"/>
          <w:numId w:val="37"/>
        </w:numPr>
        <w:spacing/>
        <w:rPr/>
      </w:pPr>
      <w:r>
        <w:rPr/>
        <w:t xml:space="preserve">The lift doors contrast with the surrounding wall finishes</w:t>
      </w:r>
    </w:p>
    <w:p>
      <w:pPr>
        <w:pStyle w:val="ListBullet"/>
        <w:numPr>
          <w:ilvl w:val="0"/>
          <w:numId w:val="37"/>
        </w:numPr>
        <w:spacing/>
        <w:rPr/>
      </w:pPr>
      <w:r>
        <w:rPr/>
        <w:t xml:space="preserve">The lift call buttons contrast with the surrounding wall finishes</w:t>
      </w:r>
    </w:p>
    <w:p>
      <w:pPr>
        <w:pStyle w:val="ListBullet"/>
        <w:numPr>
          <w:ilvl w:val="0"/>
          <w:numId w:val="37"/>
        </w:numPr>
        <w:spacing/>
        <w:rPr/>
      </w:pPr>
      <w:r>
        <w:rPr/>
        <w:t xml:space="preserve">The lift floor buttons have large print numbers</w:t>
      </w:r>
    </w:p>
    <w:p>
      <w:pPr>
        <w:pStyle w:val="ListBullet"/>
        <w:numPr>
          <w:ilvl w:val="0"/>
          <w:numId w:val="37"/>
        </w:numPr>
        <w:spacing/>
        <w:rPr/>
      </w:pPr>
      <w:r>
        <w:rPr/>
        <w:t xml:space="preserve">The lift buttons have braille floor numbers</w:t>
      </w:r>
    </w:p>
    <w:p>
      <w:pPr>
        <w:pStyle w:val="ListBullet"/>
        <w:numPr>
          <w:ilvl w:val="0"/>
          <w:numId w:val="37"/>
        </w:numPr>
        <w:spacing/>
        <w:rPr/>
      </w:pPr>
      <w:r>
        <w:rPr/>
        <w:t xml:space="preserve">The lift has an easily identifiable/tactile emergency button</w:t>
      </w:r>
    </w:p>
    <w:p>
      <w:pPr>
        <w:pStyle w:val="ListBullet"/>
        <w:numPr>
          <w:ilvl w:val="0"/>
          <w:numId w:val="37"/>
        </w:numPr>
        <w:spacing/>
        <w:rPr/>
      </w:pPr>
      <w:r>
        <w:rPr/>
        <w:t xml:space="preserve">The doors open to a clear span of 880mm</w:t>
      </w:r>
    </w:p>
    <w:p>
      <w:pPr>
        <w:pStyle w:val="ListBullet"/>
        <w:numPr>
          <w:ilvl w:val="0"/>
          <w:numId w:val="37"/>
        </w:numPr>
        <w:spacing/>
        <w:rPr/>
      </w:pPr>
      <w:r>
        <w:rPr/>
        <w:t xml:space="preserve">The minimum size of the lift 1100mm wide by 1400mm deep</w:t>
      </w:r>
    </w:p>
    <w:p>
      <w:pPr>
        <w:pStyle w:val="ListBullet"/>
        <w:numPr>
          <w:ilvl w:val="0"/>
          <w:numId w:val="37"/>
        </w:numPr>
        <w:spacing/>
        <w:rPr/>
      </w:pPr>
      <w:r>
        <w:rPr/>
        <w:t xml:space="preserve">The control button heights are between 900mm and 1200mm</w:t>
      </w:r>
    </w:p>
    <w:p>
      <w:pPr>
        <w:pStyle w:val="ListBullet"/>
        <w:numPr>
          <w:ilvl w:val="0"/>
          <w:numId w:val="37"/>
        </w:numPr>
        <w:spacing/>
        <w:rPr/>
      </w:pPr>
      <w:r>
        <w:rPr/>
        <w:t xml:space="preserve">There is a handrail of a minimum length of 600mm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7"/>
        </w:numPr>
        <w:spacing/>
        <w:rPr/>
      </w:pPr>
      <w:r>
        <w:rPr/>
        <w:t xml:space="preserve">Hearing loop symbols are displayed</w:t>
      </w:r>
    </w:p>
    <w:p>
      <w:pPr>
        <w:spacing/>
        <w:rPr/>
      </w:pPr>
      <w:r>
        <w:rPr/>
        <w:t xml:space="preserve"> </w:t>
      </w:r>
    </w:p>
    <w:p>
      <w:pPr>
        <w:pStyle w:val="Heading2"/>
        <w:spacing/>
        <w:rPr/>
      </w:pPr>
      <w:bookmarkStart w:id="17" w:name="_Toc0000000013"/>
      <w:r>
        <w:rPr/>
        <w:t xml:space="preserve">External Paths</w:t>
      </w:r>
      <w:bookmarkEnd w:id="17"/>
    </w:p>
    <w:p>
      <w:pPr>
        <w:spacing/>
        <w:rPr/>
      </w:pPr>
      <w:r>
        <w:rPr/>
        <w:t xml:space="preserve">External paths of travel</w:t>
      </w:r>
    </w:p>
    <w:p>
      <w:pPr>
        <w:pStyle w:val="ListBullet"/>
        <w:numPr>
          <w:ilvl w:val="0"/>
          <w:numId w:val="37"/>
        </w:numPr>
        <w:spacing/>
        <w:rPr/>
      </w:pPr>
      <w:r>
        <w:rPr/>
        <w:t xml:space="preserve">Surfaces are concrete, asphalt, smooth paving or hard packed fine gravel (max aggregate size 13mm)</w:t>
      </w:r>
    </w:p>
    <w:p>
      <w:pPr>
        <w:pStyle w:val="ListBullet"/>
        <w:numPr>
          <w:ilvl w:val="0"/>
          <w:numId w:val="37"/>
        </w:numPr>
        <w:spacing/>
        <w:rPr/>
      </w:pPr>
      <w:r>
        <w:rPr/>
        <w:t xml:space="preserve">Paths or slopes longer than 15 metres have resting places or seats</w:t>
      </w:r>
    </w:p>
    <w:p>
      <w:pPr>
        <w:pStyle w:val="ListBullet"/>
        <w:numPr>
          <w:ilvl w:val="0"/>
          <w:numId w:val="37"/>
        </w:numPr>
        <w:spacing/>
        <w:rPr/>
      </w:pPr>
      <w:r>
        <w:rPr/>
        <w:t xml:space="preserve">Pathways are wider than 900mm</w:t>
      </w:r>
    </w:p>
    <w:p>
      <w:pPr>
        <w:pStyle w:val="ListBullet"/>
        <w:numPr>
          <w:ilvl w:val="0"/>
          <w:numId w:val="37"/>
        </w:numPr>
        <w:spacing/>
        <w:rPr/>
      </w:pPr>
      <w:r>
        <w:rPr/>
        <w:t xml:space="preserve">There 3 successive steps or less on any path or at any doorway</w:t>
      </w:r>
    </w:p>
    <w:p>
      <w:pPr>
        <w:pStyle w:val="ListBullet"/>
        <w:numPr>
          <w:ilvl w:val="0"/>
          <w:numId w:val="37"/>
        </w:numPr>
        <w:spacing/>
        <w:rPr/>
      </w:pPr>
      <w:r>
        <w:rPr/>
        <w:t xml:space="preserve">Step free routes clearly signed</w:t>
      </w:r>
    </w:p>
    <w:p>
      <w:pPr>
        <w:spacing/>
        <w:rPr/>
      </w:pPr>
      <w:r>
        <w:rPr/>
        <w:t xml:space="preserve"> </w:t>
      </w:r>
    </w:p>
    <w:p>
      <w:pPr>
        <w:pStyle w:val="Heading2"/>
        <w:spacing/>
        <w:rPr/>
      </w:pPr>
      <w:bookmarkStart w:id="18" w:name="_Toc0000000014"/>
      <w:r>
        <w:rPr/>
        <w:t xml:space="preserve">Steps</w:t>
      </w:r>
      <w:bookmarkEnd w:id="18"/>
    </w:p>
    <w:p>
      <w:pPr>
        <w:spacing/>
        <w:rPr/>
      </w:pPr>
      <w:r>
        <w:rPr/>
        <w:t xml:space="preserve">Steps</w:t>
      </w:r>
    </w:p>
    <w:p>
      <w:pPr>
        <w:pStyle w:val="ListBullet"/>
        <w:numPr>
          <w:ilvl w:val="0"/>
          <w:numId w:val="37"/>
        </w:numPr>
        <w:spacing/>
        <w:rPr/>
      </w:pPr>
      <w:r>
        <w:rPr/>
        <w:t xml:space="preserve">There are steps.</w:t>
      </w:r>
    </w:p>
    <w:p>
      <w:pPr>
        <w:pStyle w:val="ListBullet"/>
        <w:numPr>
          <w:ilvl w:val="0"/>
          <w:numId w:val="37"/>
        </w:numPr>
        <w:spacing/>
        <w:rPr/>
      </w:pPr>
      <w:r>
        <w:rPr/>
        <w:t xml:space="preserve">Top and bottom steps are easily distinguished through colour contrast or the use of TGSIs (Tactile Ground Surface Indicators)</w:t>
      </w:r>
    </w:p>
    <w:p>
      <w:pPr>
        <w:pStyle w:val="ListBullet"/>
        <w:numPr>
          <w:ilvl w:val="0"/>
          <w:numId w:val="37"/>
        </w:numPr>
        <w:spacing/>
        <w:rPr/>
      </w:pPr>
      <w:r>
        <w:rPr/>
        <w:t xml:space="preserve">All steps or staircases have enclosed risers</w:t>
      </w:r>
    </w:p>
    <w:p>
      <w:pPr>
        <w:pStyle w:val="ListBullet"/>
        <w:numPr>
          <w:ilvl w:val="0"/>
          <w:numId w:val="37"/>
        </w:numPr>
        <w:spacing/>
        <w:rPr/>
      </w:pPr>
      <w:r>
        <w:rPr/>
        <w:t xml:space="preserve">The underside of all staircases are enclosed or protected to a height of at least 2 metres</w:t>
      </w:r>
    </w:p>
    <w:p>
      <w:pPr>
        <w:pStyle w:val="ListBullet"/>
        <w:numPr>
          <w:ilvl w:val="0"/>
          <w:numId w:val="37"/>
        </w:numPr>
        <w:spacing/>
        <w:rPr/>
      </w:pPr>
      <w:r>
        <w:rPr/>
        <w:t xml:space="preserve">Handrails fitted to all open sets of steps</w:t>
      </w:r>
    </w:p>
    <w:p>
      <w:pPr>
        <w:pStyle w:val="ListBullet"/>
        <w:numPr>
          <w:ilvl w:val="0"/>
          <w:numId w:val="37"/>
        </w:numPr>
        <w:spacing/>
        <w:rPr/>
      </w:pPr>
      <w:r>
        <w:rPr/>
        <w:t xml:space="preserve">Where steps are present are there three steps or less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7"/>
        </w:numPr>
        <w:spacing/>
        <w:rPr/>
      </w:pPr>
      <w:r>
        <w:rPr/>
        <w:t xml:space="preserve">There are ramps.</w:t>
      </w:r>
    </w:p>
    <w:p>
      <w:pPr>
        <w:pStyle w:val="ListBullet"/>
        <w:numPr>
          <w:ilvl w:val="0"/>
          <w:numId w:val="37"/>
        </w:numPr>
        <w:spacing/>
        <w:rPr/>
      </w:pPr>
      <w:r>
        <w:rPr/>
        <w:t xml:space="preserve">All fixed ramps are 1:14 or less</w:t>
      </w:r>
    </w:p>
    <w:p>
      <w:pPr>
        <w:pStyle w:val="ListBullet"/>
        <w:numPr>
          <w:ilvl w:val="0"/>
          <w:numId w:val="37"/>
        </w:numPr>
        <w:spacing/>
        <w:rPr/>
      </w:pPr>
      <w:r>
        <w:rPr/>
        <w:t xml:space="preserve">Hand rails are fitted</w:t>
      </w:r>
    </w:p>
    <w:p>
      <w:pPr>
        <w:pStyle w:val="ListBullet"/>
        <w:numPr>
          <w:ilvl w:val="0"/>
          <w:numId w:val="37"/>
        </w:numPr>
        <w:spacing/>
        <w:rPr/>
      </w:pPr>
      <w:r>
        <w:rPr/>
        <w:t xml:space="preserve">Temporary ramps are available</w:t>
      </w:r>
    </w:p>
    <w:p>
      <w:pPr>
        <w:pStyle w:val="ListBullet"/>
        <w:numPr>
          <w:ilvl w:val="0"/>
          <w:numId w:val="37"/>
        </w:numPr>
        <w:spacing/>
        <w:rPr/>
      </w:pPr>
      <w:r>
        <w:rPr/>
        <w:t xml:space="preserve">Temporary ramps are in place for the duration of the guests stay</w:t>
      </w:r>
    </w:p>
    <w:p>
      <w:pPr>
        <w:pStyle w:val="ListBullet"/>
        <w:numPr>
          <w:ilvl w:val="0"/>
          <w:numId w:val="37"/>
        </w:numPr>
        <w:spacing/>
        <w:rPr/>
      </w:pPr>
      <w:r>
        <w:rPr/>
        <w:t xml:space="preserve">Ramps have a raised edge of at least 100mm</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7"/>
        </w:numPr>
        <w:spacing/>
        <w:rPr/>
      </w:pPr>
      <w:r>
        <w:rPr/>
        <w:t xml:space="preserve">There is an accessible toilet for public use</w:t>
      </w:r>
    </w:p>
    <w:p>
      <w:pPr>
        <w:pStyle w:val="ListBullet"/>
        <w:numPr>
          <w:ilvl w:val="0"/>
          <w:numId w:val="37"/>
        </w:numPr>
        <w:spacing/>
        <w:rPr/>
      </w:pPr>
      <w:r>
        <w:rPr/>
        <w:t xml:space="preserve">The door is at least 850mm wide</w:t>
      </w:r>
    </w:p>
    <w:p>
      <w:pPr>
        <w:pStyle w:val="ListBullet"/>
        <w:numPr>
          <w:ilvl w:val="0"/>
          <w:numId w:val="37"/>
        </w:numPr>
        <w:spacing/>
        <w:rPr/>
      </w:pPr>
      <w:r>
        <w:rPr/>
        <w:t xml:space="preserve">There is a minimum of 850mm beside the toilet</w:t>
      </w:r>
    </w:p>
    <w:p>
      <w:pPr>
        <w:pStyle w:val="ListBullet"/>
        <w:numPr>
          <w:ilvl w:val="0"/>
          <w:numId w:val="37"/>
        </w:numPr>
        <w:spacing/>
        <w:rPr/>
      </w:pPr>
      <w:r>
        <w:rPr/>
        <w:t xml:space="preserve">Handrails are fitted</w:t>
      </w:r>
    </w:p>
    <w:p>
      <w:pPr>
        <w:pStyle w:val="ListBullet"/>
        <w:numPr>
          <w:ilvl w:val="0"/>
          <w:numId w:val="37"/>
        </w:numPr>
        <w:spacing/>
        <w:rPr/>
      </w:pPr>
      <w:r>
        <w:rPr/>
        <w:t xml:space="preserve">The toilet seat is 460mm above the floor</w:t>
      </w:r>
    </w:p>
    <w:p>
      <w:pPr>
        <w:pStyle w:val="ListBullet"/>
        <w:pBdr/>
        <w:spacing/>
        <w:rPr>
          <w:sz w:val="24"/>
        </w:rPr>
      </w:pPr>
      <w:r>
        <w:rPr>
          <w:sz w:val="24"/>
        </w:rPr>
        <w:t xml:space="preserve">There is Differs depending on which toilet is used, the minimum clear space is 1500mm. mm of clear space in front of the toilet</w:t>
      </w:r>
    </w:p>
    <w:p>
      <w:pPr>
        <w:pStyle w:val="ListBullet"/>
        <w:numPr>
          <w:ilvl w:val="0"/>
          <w:numId w:val="37"/>
        </w:numPr>
        <w:spacing/>
        <w:rPr/>
      </w:pPr>
      <w:r>
        <w:rPr/>
        <w:t xml:space="preserve">The toilet seat of a contrasting colour to the floor</w:t>
      </w:r>
    </w:p>
    <w:p>
      <w:pPr>
        <w:pStyle w:val="ListBullet"/>
        <w:numPr>
          <w:ilvl w:val="0"/>
          <w:numId w:val="37"/>
        </w:numPr>
        <w:spacing/>
        <w:rPr/>
      </w:pPr>
      <w:r>
        <w:rPr/>
        <w:t xml:space="preserve">The toilet seat is460mm above the floor</w:t>
      </w:r>
    </w:p>
    <w:p>
      <w:pPr>
        <w:pStyle w:val="ListBullet"/>
        <w:numPr>
          <w:ilvl w:val="0"/>
          <w:numId w:val="37"/>
        </w:numPr>
        <w:spacing/>
        <w:rPr/>
      </w:pPr>
      <w:r>
        <w:rPr/>
        <w:t xml:space="preserve">There is a registered changing places facility</w:t>
      </w:r>
    </w:p>
    <w:p>
      <w:pPr>
        <w:pStyle w:val="ListBullet"/>
        <w:numPr>
          <w:ilvl w:val="0"/>
          <w:numId w:val="37"/>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The Changing Place facility is on the ground floor, centrally located near the customer service desk. Accessible bathrooms are also located throughout the building. </w:t>
      </w:r>
    </w:p>
    <w:p>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pPr>
        <w:pStyle w:val="Heading2"/>
        <w:spacing/>
        <w:rPr>
          <w:rFonts w:eastAsia="Calibri"/>
        </w:rPr>
      </w:pPr>
      <w:bookmarkStart w:id="21" w:name="_Toc0000000017"/>
      <w:r>
        <w:rPr/>
        <w:t xml:space="preserve">Report Disclaimer</w:t>
      </w:r>
      <w:bookmarkEnd w:id="21"/>
    </w:p>
    <w:p>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product or service. </w:t>
      </w:r>
    </w:p>
    <w:p>
      <w:pPr>
        <w:spacing w:before="120" w:line="256" w:lineRule="auto"/>
        <w:rPr>
          <w:rFonts w:cs="Times New Roman"/>
          <w:sz w:val="20"/>
        </w:rPr>
      </w:pPr>
      <w:r>
        <w:rPr>
          <w:rFonts w:cs="Times New Roman"/>
          <w:sz w:val="20"/>
        </w:rPr>
        <w:t xml:space="preserve">ATIC does not:</w:t>
      </w:r>
    </w:p>
    <w:p>
      <w:pPr>
        <w:numPr>
          <w:ilvl w:val="0"/>
          <w:numId w:val="38"/>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pPr>
        <w:numPr>
          <w:ilvl w:val="0"/>
          <w:numId w:val="38"/>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pPr>
          <w:pStyle w:val="Footer"/>
          <w:pBdr>
            <w:top w:val="single" w:color="D9D9D9" w:sz="4" w:space="1"/>
            <w:left w:val="none" w:color="auto" w:sz="0" w:space="0"/>
            <w:bottom w:val="none" w:color="auto" w:sz="0" w:space="0"/>
            <w:right w:val="none" w:color="auto" w:sz="0" w:space="0"/>
            <w:between w:val="none" w:color="auto" w:sz="0" w:space="0"/>
            <w:bar w:val="none" w:color="auto" w:sz="0" w:space="0"/>
          </w:pBdr>
          <w:spacing w:line="240" w:lineRule="auto"/>
          <w:jc w:val="right"/>
          <w:rPr>
            <w:b/>
            <w:bCs/>
          </w:rPr>
        </w:pPr>
        <w:r>
          <w:rPr>
            <w:noProof/>
          </w:rPr>
          <w:drawing>
            <wp:anchor distT="0" distB="0" distL="114300" distR="114300" simplePos="0" relativeHeight="251659264" behindDoc="0" locked="0" layoutInCell="1" allowOverlap="1">
              <wp:simplePos x="0" y="0"/>
              <wp:positionH relativeFrom="column">
                <wp:posOffset>-533400</wp:posOffset>
              </wp:positionH>
              <wp:positionV relativeFrom="paragraph">
                <wp:posOffset>-531495</wp:posOffset>
              </wp:positionV>
              <wp:extent cx="6810988" cy="504825"/>
              <wp:effectExtent xmlns:wp="http://schemas.openxmlformats.org/drawingml/2006/wordprocessingDrawing" l="0" t="0" r="9525" b="0"/>
              <wp:wrapTopAndBottom/>
              <wp:docPr id="1" name="Picture 5"/>
              <a:graphic>
                <a:graphicData uri="http://schemas.openxmlformats.org/drawingml/2006/picture">
                  <pic:pic>
                    <pic:nvPicPr>
                      <pic:cNvPr id="0" name="" descr=""/>
                      <pic:cNvPicPr>
                        <a:picLocks noChangeAspect="1" noChangeArrowheads="1"/>
                      </pic:cNvPicPr>
                    </pic:nvPicPr>
                    <pic:blipFill>
                      <a:blip r:embed="rId20"/>
                      <a:srcRect/>
                      <a:stretch>
                        <a:fillRect/>
                      </a:stretch>
                    </pic:blipFill>
                    <pic:spPr bwMode="auto">
                      <a:xfrm>
                        <a:off x="0" y="0"/>
                        <a:ext cx="6810988" cy="504825"/>
                      </a:xfrm>
                      <a:prstGeom prst="rect">
                        <a:avLst/>
                      </a:prstGeom>
                    </pic:spPr>
                  </pic:pic>
                </a:graphicData>
              </a:graphic>
            </wp:anchor>
          </w:drawing>
        </w:r>
        <w:r>
          <w:rPr/>
          <w:fldChar w:fldCharType="begin"/>
        </w:r>
        <w:r>
          <w:rPr/>
          <w:instrText>PAGE   \* MERGEFORMAT</w:instrText>
        </w:r>
        <w:r>
          <w:rPr/>
          <w:fldChar w:fldCharType="separate"/>
        </w:r>
        <w:r>
          <w:rPr/>
          <w:t xml:space="preserve">1</w:t>
        </w:r>
        <w:r>
          <w:rPr/>
          <w:fldChar w:fldCharType="end"/>
        </w:r>
        <w:r>
          <w:rPr>
            <w:b/>
            <w:bCs/>
          </w:rPr>
          <w:t xml:space="preserve"> | </w:t>
        </w:r>
        <w:r>
          <w:rPr>
            <w:spacing w:val="60"/>
          </w:rPr>
          <w:t xml:space="preserve">Page</w:t>
        </w:r>
      </w:p>
    </w:sdtContent>
  </w:sdt>
  <w:p>
    <w:pPr>
      <w:pStyle w:val="Footer"/>
      <w:spacing w:line="240" w:lineRule="auto"/>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start w:val="1"/>
      <w:numFmt w:val="decimal"/>
      <w:suff w:val="tab"/>
      <w:lvlText w:val="%1."/>
      <w:pPr>
        <w:spacing/>
        <w:ind w:left="720"/>
      </w:pPr>
      <w:rPr>
        <w:rFonts w:ascii="Times New Roman" w:hAnsi="Times New Roman" w:eastAsia="Times New Roman" w:cs="Times New Roman"/>
      </w:rPr>
    </w:lvl>
    <w:lvl w:ilvl="1">
      <w:start w:val="1"/>
      <w:numFmt w:val="lowerLetter"/>
      <w:suff w:val="tab"/>
      <w:lvlText w:val="%2."/>
      <w:lvlJc w:val="right"/>
      <w:pPr>
        <w:spacing/>
        <w:ind w:left="1440"/>
      </w:pPr>
      <w:rPr>
        <w:rFonts w:ascii="Times New Roman" w:hAnsi="Times New Roman" w:eastAsia="Times New Roman" w:cs="Times New Roman"/>
      </w:rPr>
    </w:lvl>
    <w:lvl w:ilvl="2">
      <w:start w:val="1"/>
      <w:numFmt w:val="lowerRoman"/>
      <w:suff w:val="tab"/>
      <w:lvlText w:val="%3."/>
      <w:pPr>
        <w:spacing/>
        <w:ind w:left="2160"/>
      </w:pPr>
      <w:rPr>
        <w:rFonts w:ascii="Times New Roman" w:hAnsi="Times New Roman" w:eastAsia="Times New Roman" w:cs="Times New Roman"/>
      </w:rPr>
    </w:lvl>
    <w:lvl w:ilvl="3">
      <w:start w:val="1"/>
      <w:numFmt w:val="decimal"/>
      <w:suff w:val="tab"/>
      <w:lvlText w:val="%4."/>
      <w:pPr>
        <w:spacing/>
        <w:ind w:left="2880"/>
      </w:pPr>
      <w:rPr>
        <w:rFonts w:ascii="Times New Roman" w:hAnsi="Times New Roman" w:eastAsia="Times New Roman" w:cs="Times New Roman"/>
      </w:rPr>
    </w:lvl>
    <w:lvl w:ilvl="4">
      <w:start w:val="1"/>
      <w:numFmt w:val="lowerLetter"/>
      <w:suff w:val="tab"/>
      <w:lvlText w:val="%5."/>
      <w:lvlJc w:val="right"/>
      <w:pPr>
        <w:spacing/>
        <w:ind w:left="3600"/>
      </w:pPr>
      <w:rPr>
        <w:rFonts w:ascii="Times New Roman" w:hAnsi="Times New Roman" w:eastAsia="Times New Roman" w:cs="Times New Roman"/>
      </w:rPr>
    </w:lvl>
    <w:lvl w:ilvl="5">
      <w:start w:val="1"/>
      <w:numFmt w:val="lowerRoman"/>
      <w:suff w:val="tab"/>
      <w:lvlText w:val="%6."/>
      <w:pPr>
        <w:spacing/>
        <w:ind w:left="4320"/>
      </w:pPr>
      <w:rPr>
        <w:rFonts w:ascii="Times New Roman" w:hAnsi="Times New Roman" w:eastAsia="Times New Roman" w:cs="Times New Roman"/>
      </w:rPr>
    </w:lvl>
    <w:lvl w:ilvl="6">
      <w:start w:val="1"/>
      <w:numFmt w:val="decimal"/>
      <w:suff w:val="tab"/>
      <w:lvlText w:val="%7."/>
      <w:pPr>
        <w:spacing/>
        <w:ind w:left="5040"/>
      </w:pPr>
      <w:rPr>
        <w:rFonts w:ascii="Times New Roman" w:hAnsi="Times New Roman" w:eastAsia="Times New Roman" w:cs="Times New Roman"/>
      </w:rPr>
    </w:lvl>
    <w:lvl w:ilvl="7">
      <w:start w:val="1"/>
      <w:numFmt w:val="lowerLetter"/>
      <w:suff w:val="tab"/>
      <w:lvlText w:val="%8."/>
      <w:lvlJc w:val="right"/>
      <w:pPr>
        <w:spacing/>
        <w:ind w:left="5760"/>
      </w:pPr>
      <w:rPr>
        <w:rFonts w:ascii="Times New Roman" w:hAnsi="Times New Roman" w:eastAsia="Times New Roman" w:cs="Times New Roman"/>
      </w:rPr>
    </w:lvl>
    <w:lvl w:ilvl="8">
      <w:start w:val="1"/>
      <w:numFmt w:val="lowerRoman"/>
      <w:suff w:val="tab"/>
      <w:lvlText w:val="%9."/>
      <w:pPr>
        <w:spacing/>
        <w:ind w:left="6480"/>
      </w:pPr>
      <w:rPr>
        <w:rFonts w:ascii="Times New Roman" w:hAnsi="Times New Roman" w:eastAsia="Times New Roman" w:cs="Times New Roman"/>
      </w:rPr>
    </w:lvl>
  </w:abstractNum>
  <w:abstractNum w:abstractNumId="1">
    <w:lvl w:ilvl="0">
      <w:start w:val="1"/>
      <w:numFmt w:val="bullet"/>
      <w:suff w:val="tab"/>
      <w:lvlText w:val=""/>
      <w:pPr>
        <w:spacing/>
        <w:ind w:left="720"/>
      </w:pPr>
      <w:rPr>
        <w:rFonts w:ascii="Symbol" w:hAnsi="Symbol" w:eastAsia="Symbol" w:cs="Symbol"/>
      </w:rPr>
    </w:lvl>
    <w:lvl w:ilvl="1">
      <w:start w:val="1"/>
      <w:numFmt w:val="bullet"/>
      <w:suff w:val="tab"/>
      <w:lvlText w:val="o"/>
      <w:pPr>
        <w:spacing/>
        <w:ind w:left="1440"/>
      </w:pPr>
      <w:rPr>
        <w:rFonts w:ascii="Courier New" w:hAnsi="Courier New" w:eastAsia="Courier New" w:cs="Courier New"/>
      </w:rPr>
    </w:lvl>
    <w:lvl w:ilvl="2">
      <w:start w:val="1"/>
      <w:numFmt w:val="bullet"/>
      <w:suff w:val="tab"/>
      <w:lvlText w:val=""/>
      <w:pPr>
        <w:spacing/>
        <w:ind w:left="2160"/>
      </w:pPr>
      <w:rPr>
        <w:rFonts w:ascii="Wingdings" w:hAnsi="Wingdings" w:eastAsia="Wingdings" w:cs="Wingdings"/>
      </w:rPr>
    </w:lvl>
    <w:lvl w:ilvl="3">
      <w:start w:val="1"/>
      <w:numFmt w:val="bullet"/>
      <w:suff w:val="tab"/>
      <w:lvlText w:val=""/>
      <w:pPr>
        <w:spacing/>
        <w:ind w:left="2880"/>
      </w:pPr>
      <w:rPr>
        <w:rFonts w:ascii="Symbol" w:hAnsi="Symbol" w:eastAsia="Symbol" w:cs="Symbol"/>
      </w:rPr>
    </w:lvl>
    <w:lvl w:ilvl="4">
      <w:start w:val="1"/>
      <w:numFmt w:val="bullet"/>
      <w:suff w:val="tab"/>
      <w:lvlText w:val="o"/>
      <w:pPr>
        <w:spacing/>
        <w:ind w:left="3600"/>
      </w:pPr>
      <w:rPr>
        <w:rFonts w:ascii="Courier New" w:hAnsi="Courier New" w:eastAsia="Courier New" w:cs="Courier New"/>
      </w:rPr>
    </w:lvl>
    <w:lvl w:ilvl="5">
      <w:start w:val="1"/>
      <w:numFmt w:val="bullet"/>
      <w:suff w:val="tab"/>
      <w:lvlText w:val=""/>
      <w:pPr>
        <w:spacing/>
        <w:ind w:left="4320"/>
      </w:pPr>
      <w:rPr>
        <w:rFonts w:ascii="Wingdings" w:hAnsi="Wingdings" w:eastAsia="Wingdings" w:cs="Wingdings"/>
      </w:rPr>
    </w:lvl>
    <w:lvl w:ilvl="6">
      <w:start w:val="1"/>
      <w:numFmt w:val="bullet"/>
      <w:suff w:val="tab"/>
      <w:lvlText w:val=""/>
      <w:pPr>
        <w:spacing/>
        <w:ind w:left="5040"/>
      </w:pPr>
      <w:rPr>
        <w:rFonts w:ascii="Symbol" w:hAnsi="Symbol" w:eastAsia="Symbol" w:cs="Symbol"/>
      </w:rPr>
    </w:lvl>
    <w:lvl w:ilvl="7">
      <w:start w:val="1"/>
      <w:numFmt w:val="bullet"/>
      <w:suff w:val="tab"/>
      <w:lvlText w:val="o"/>
      <w:pPr>
        <w:spacing/>
        <w:ind w:left="5760"/>
      </w:pPr>
      <w:rPr>
        <w:rFonts w:ascii="Courier New" w:hAnsi="Courier New" w:eastAsia="Courier New" w:cs="Courier New"/>
      </w:rPr>
    </w:lvl>
    <w:lvl w:ilvl="8">
      <w:start w:val="1"/>
      <w:numFmt w:val="bullet"/>
      <w:suff w:val="tab"/>
      <w:lvlText w:val=""/>
      <w:pPr>
        <w:spacing/>
        <w:ind w:left="6480"/>
      </w:pPr>
      <w:rPr>
        <w:rFonts w:ascii="Wingdings" w:hAnsi="Wingdings" w:eastAsia="Wingdings" w:cs="Wingdings"/>
      </w:rPr>
    </w:lvl>
  </w:abstractNum>
  <w:abstractNum w:abstractNumId="2">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lvl w:ilvl="0">
      <w:start w:val="1"/>
      <w:numFmt w:val="bullet"/>
      <w:suff w:val="tab"/>
      <w:lvlText w:val=""/>
      <w:pPr>
        <w:tabs>
          <w:tab w:val="num" w:pos="1492"/>
        </w:tabs>
        <w:spacing/>
        <w:ind w:left="1492"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lvl w:ilvl="0">
      <w:start w:val="1"/>
      <w:numFmt w:val="bullet"/>
      <w:suff w:val="tab"/>
      <w:lvlText w:val=""/>
      <w:pPr>
        <w:tabs>
          <w:tab w:val="num" w:pos="1209"/>
        </w:tabs>
        <w:spacing/>
        <w:ind w:left="1209"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lvl w:ilvl="0">
      <w:start w:val="1"/>
      <w:numFmt w:val="bullet"/>
      <w:suff w:val="tab"/>
      <w:lvlText w:val=""/>
      <w:pPr>
        <w:tabs>
          <w:tab w:val="num" w:pos="926"/>
        </w:tabs>
        <w:spacing/>
        <w:ind w:left="926" w:hanging="360"/>
      </w:pPr>
      <w:rPr>
        <w:rFonts w:ascii="Symbol" w:hAnsi="Symbol" w:eastAsia="Symbol" w:cs="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lvl w:ilvl="0">
      <w:start w:val="1"/>
      <w:numFmt w:val="bullet"/>
      <w:pStyle w:val="ListBullet2"/>
      <w:suff w:val="tab"/>
      <w:lvlText w:val=""/>
      <w:pPr>
        <w:spacing/>
        <w:ind w:left="643"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1">
    <w:lvl w:ilvl="0">
      <w:start w:val="1"/>
      <w:numFmt w:val="bullet"/>
      <w:pStyle w:val="ListBullet"/>
      <w:suff w:val="tab"/>
      <w:lvlText w:val=""/>
      <w:pPr>
        <w:spacing/>
        <w:ind w:left="360" w:hanging="360"/>
      </w:pPr>
      <w:rPr>
        <w:rFonts w:ascii="Wingdings" w:hAnsi="Wingdings" w:eastAsia="Wingdings" w:cs="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3">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5">
    <w:lvl w:ilvl="0">
      <w:start w:val="1"/>
      <w:numFmt w:val="bullet"/>
      <w:suff w:val="tab"/>
      <w:lvlText w:val=""/>
      <w:pPr>
        <w:spacing/>
        <w:ind w:left="1501" w:hanging="360"/>
      </w:pPr>
      <w:rPr>
        <w:rFonts w:ascii="Symbol" w:hAnsi="Symbol" w:eastAsia="Symbol" w:cs="Symbol" w:hint="default"/>
      </w:rPr>
    </w:lvl>
    <w:lvl w:ilvl="1">
      <w:start w:val="1"/>
      <w:numFmt w:val="bullet"/>
      <w:suff w:val="tab"/>
      <w:lvlText w:val="o"/>
      <w:pPr>
        <w:spacing/>
        <w:ind w:left="2221" w:hanging="360"/>
      </w:pPr>
      <w:rPr>
        <w:rFonts w:ascii="Courier New" w:hAnsi="Courier New" w:eastAsia="Courier New" w:cs="Courier New" w:hint="default"/>
      </w:rPr>
    </w:lvl>
    <w:lvl w:ilvl="2">
      <w:start w:val="1"/>
      <w:numFmt w:val="bullet"/>
      <w:suff w:val="tab"/>
      <w:lvlText w:val=""/>
      <w:pPr>
        <w:spacing/>
        <w:ind w:left="2941" w:hanging="360"/>
      </w:pPr>
      <w:rPr>
        <w:rFonts w:ascii="Wingdings" w:hAnsi="Wingdings" w:eastAsia="Wingdings" w:cs="Wingdings" w:hint="default"/>
      </w:rPr>
    </w:lvl>
    <w:lvl w:ilvl="3">
      <w:start w:val="1"/>
      <w:numFmt w:val="bullet"/>
      <w:suff w:val="tab"/>
      <w:lvlText w:val=""/>
      <w:pPr>
        <w:spacing/>
        <w:ind w:left="3661" w:hanging="360"/>
      </w:pPr>
      <w:rPr>
        <w:rFonts w:ascii="Symbol" w:hAnsi="Symbol" w:eastAsia="Symbol" w:cs="Symbol" w:hint="default"/>
      </w:rPr>
    </w:lvl>
    <w:lvl w:ilvl="4">
      <w:start w:val="1"/>
      <w:numFmt w:val="bullet"/>
      <w:suff w:val="tab"/>
      <w:lvlText w:val="o"/>
      <w:pPr>
        <w:spacing/>
        <w:ind w:left="4381" w:hanging="360"/>
      </w:pPr>
      <w:rPr>
        <w:rFonts w:ascii="Courier New" w:hAnsi="Courier New" w:eastAsia="Courier New" w:cs="Courier New" w:hint="default"/>
      </w:rPr>
    </w:lvl>
    <w:lvl w:ilvl="5">
      <w:start w:val="1"/>
      <w:numFmt w:val="bullet"/>
      <w:suff w:val="tab"/>
      <w:lvlText w:val=""/>
      <w:pPr>
        <w:spacing/>
        <w:ind w:left="5101" w:hanging="360"/>
      </w:pPr>
      <w:rPr>
        <w:rFonts w:ascii="Wingdings" w:hAnsi="Wingdings" w:eastAsia="Wingdings" w:cs="Wingdings" w:hint="default"/>
      </w:rPr>
    </w:lvl>
    <w:lvl w:ilvl="6">
      <w:start w:val="1"/>
      <w:numFmt w:val="bullet"/>
      <w:suff w:val="tab"/>
      <w:lvlText w:val=""/>
      <w:pPr>
        <w:spacing/>
        <w:ind w:left="5821" w:hanging="360"/>
      </w:pPr>
      <w:rPr>
        <w:rFonts w:ascii="Symbol" w:hAnsi="Symbol" w:eastAsia="Symbol" w:cs="Symbol" w:hint="default"/>
      </w:rPr>
    </w:lvl>
    <w:lvl w:ilvl="7">
      <w:start w:val="1"/>
      <w:numFmt w:val="bullet"/>
      <w:suff w:val="tab"/>
      <w:lvlText w:val="o"/>
      <w:pPr>
        <w:spacing/>
        <w:ind w:left="6541" w:hanging="360"/>
      </w:pPr>
      <w:rPr>
        <w:rFonts w:ascii="Courier New" w:hAnsi="Courier New" w:eastAsia="Courier New" w:cs="Courier New" w:hint="default"/>
      </w:rPr>
    </w:lvl>
    <w:lvl w:ilvl="8">
      <w:start w:val="1"/>
      <w:numFmt w:val="bullet"/>
      <w:suff w:val="tab"/>
      <w:lvlText w:val=""/>
      <w:pPr>
        <w:spacing/>
        <w:ind w:left="7261" w:hanging="360"/>
      </w:pPr>
      <w:rPr>
        <w:rFonts w:ascii="Wingdings" w:hAnsi="Wingdings" w:eastAsia="Wingdings" w:cs="Wingdings" w:hint="default"/>
      </w:rPr>
    </w:lvl>
  </w:abstractNum>
  <w:abstractNum w:abstractNumId="16">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18">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9">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20">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1">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3">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4">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5">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6">
    <w:lvl w:ilvl="0">
      <w:start w:val="1"/>
      <w:numFmt w:val="bullet"/>
      <w:pStyle w:val="List5"/>
      <w:suff w:val="tab"/>
      <w:lvlText w:val=""/>
      <w:pPr>
        <w:spacing/>
        <w:ind w:left="1852" w:hanging="360"/>
      </w:pPr>
      <w:rPr>
        <w:rFonts w:ascii="Wingdings" w:hAnsi="Wingdings" w:eastAsia="Wingdings" w:cs="Wingdings" w:hint="default"/>
      </w:rPr>
    </w:lvl>
    <w:lvl w:ilvl="1">
      <w:start w:val="1"/>
      <w:numFmt w:val="bullet"/>
      <w:suff w:val="tab"/>
      <w:lvlText w:val="o"/>
      <w:pPr>
        <w:spacing/>
        <w:ind w:left="2572" w:hanging="360"/>
      </w:pPr>
      <w:rPr>
        <w:rFonts w:ascii="Courier New" w:hAnsi="Courier New" w:eastAsia="Courier New" w:cs="Courier New" w:hint="default"/>
      </w:rPr>
    </w:lvl>
    <w:lvl w:ilvl="2">
      <w:start w:val="1"/>
      <w:numFmt w:val="bullet"/>
      <w:suff w:val="tab"/>
      <w:lvlText w:val=""/>
      <w:pPr>
        <w:spacing/>
        <w:ind w:left="3292" w:hanging="360"/>
      </w:pPr>
      <w:rPr>
        <w:rFonts w:ascii="Wingdings" w:hAnsi="Wingdings" w:eastAsia="Wingdings" w:cs="Wingdings" w:hint="default"/>
      </w:rPr>
    </w:lvl>
    <w:lvl w:ilvl="3">
      <w:start w:val="1"/>
      <w:numFmt w:val="bullet"/>
      <w:suff w:val="tab"/>
      <w:lvlText w:val=""/>
      <w:pPr>
        <w:spacing/>
        <w:ind w:left="4012" w:hanging="360"/>
      </w:pPr>
      <w:rPr>
        <w:rFonts w:ascii="Symbol" w:hAnsi="Symbol" w:eastAsia="Symbol" w:cs="Symbol" w:hint="default"/>
      </w:rPr>
    </w:lvl>
    <w:lvl w:ilvl="4">
      <w:start w:val="1"/>
      <w:numFmt w:val="bullet"/>
      <w:suff w:val="tab"/>
      <w:lvlText w:val="o"/>
      <w:pPr>
        <w:spacing/>
        <w:ind w:left="4732" w:hanging="360"/>
      </w:pPr>
      <w:rPr>
        <w:rFonts w:ascii="Courier New" w:hAnsi="Courier New" w:eastAsia="Courier New" w:cs="Courier New" w:hint="default"/>
      </w:rPr>
    </w:lvl>
    <w:lvl w:ilvl="5">
      <w:start w:val="1"/>
      <w:numFmt w:val="bullet"/>
      <w:suff w:val="tab"/>
      <w:lvlText w:val=""/>
      <w:pPr>
        <w:spacing/>
        <w:ind w:left="5452" w:hanging="360"/>
      </w:pPr>
      <w:rPr>
        <w:rFonts w:ascii="Wingdings" w:hAnsi="Wingdings" w:eastAsia="Wingdings" w:cs="Wingdings" w:hint="default"/>
      </w:rPr>
    </w:lvl>
    <w:lvl w:ilvl="6">
      <w:start w:val="1"/>
      <w:numFmt w:val="bullet"/>
      <w:suff w:val="tab"/>
      <w:lvlText w:val=""/>
      <w:pPr>
        <w:spacing/>
        <w:ind w:left="6172" w:hanging="360"/>
      </w:pPr>
      <w:rPr>
        <w:rFonts w:ascii="Symbol" w:hAnsi="Symbol" w:eastAsia="Symbol" w:cs="Symbol" w:hint="default"/>
      </w:rPr>
    </w:lvl>
    <w:lvl w:ilvl="7">
      <w:start w:val="1"/>
      <w:numFmt w:val="bullet"/>
      <w:suff w:val="tab"/>
      <w:lvlText w:val="o"/>
      <w:pPr>
        <w:spacing/>
        <w:ind w:left="6892" w:hanging="360"/>
      </w:pPr>
      <w:rPr>
        <w:rFonts w:ascii="Courier New" w:hAnsi="Courier New" w:eastAsia="Courier New" w:cs="Courier New" w:hint="default"/>
      </w:rPr>
    </w:lvl>
    <w:lvl w:ilvl="8">
      <w:start w:val="1"/>
      <w:numFmt w:val="bullet"/>
      <w:suff w:val="tab"/>
      <w:lvlText w:val=""/>
      <w:pPr>
        <w:spacing/>
        <w:ind w:left="7612" w:hanging="360"/>
      </w:pPr>
      <w:rPr>
        <w:rFonts w:ascii="Wingdings" w:hAnsi="Wingdings" w:eastAsia="Wingdings" w:cs="Wingdings" w:hint="default"/>
      </w:rPr>
    </w:lvl>
  </w:abstractNum>
  <w:abstractNum w:abstractNumId="27">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8">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29">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0">
    <w:lvl w:ilvl="0">
      <w:start w:val="1"/>
      <w:numFmt w:val="bullet"/>
      <w:suff w:val="tab"/>
      <w:lvlText w:val=""/>
      <w:pPr>
        <w:spacing/>
        <w:ind w:left="1080" w:hanging="360"/>
      </w:pPr>
      <w:rPr>
        <w:rFonts w:ascii="Symbol" w:hAnsi="Symbol" w:eastAsia="Symbol" w:cs="Symbol" w:hint="default"/>
      </w:rPr>
    </w:lvl>
    <w:lvl w:ilvl="1">
      <w:start w:val="1"/>
      <w:numFmt w:val="bullet"/>
      <w:suff w:val="tab"/>
      <w:lvlText w:val="o"/>
      <w:pPr>
        <w:spacing/>
        <w:ind w:left="1800" w:hanging="360"/>
      </w:pPr>
      <w:rPr>
        <w:rFonts w:ascii="Courier New" w:hAnsi="Courier New" w:eastAsia="Courier New" w:cs="Courier New" w:hint="default"/>
      </w:rPr>
    </w:lvl>
    <w:lvl w:ilvl="2">
      <w:start w:val="1"/>
      <w:numFmt w:val="bullet"/>
      <w:suff w:val="tab"/>
      <w:lvlText w:val=""/>
      <w:pPr>
        <w:spacing/>
        <w:ind w:left="2520" w:hanging="360"/>
      </w:pPr>
      <w:rPr>
        <w:rFonts w:ascii="Wingdings" w:hAnsi="Wingdings" w:eastAsia="Wingdings" w:cs="Wingdings" w:hint="default"/>
      </w:rPr>
    </w:lvl>
    <w:lvl w:ilvl="3">
      <w:start w:val="1"/>
      <w:numFmt w:val="bullet"/>
      <w:suff w:val="tab"/>
      <w:lvlText w:val=""/>
      <w:pPr>
        <w:spacing/>
        <w:ind w:left="3240" w:hanging="360"/>
      </w:pPr>
      <w:rPr>
        <w:rFonts w:ascii="Symbol" w:hAnsi="Symbol" w:eastAsia="Symbol" w:cs="Symbol" w:hint="default"/>
      </w:rPr>
    </w:lvl>
    <w:lvl w:ilvl="4">
      <w:start w:val="1"/>
      <w:numFmt w:val="bullet"/>
      <w:suff w:val="tab"/>
      <w:lvlText w:val="o"/>
      <w:pPr>
        <w:spacing/>
        <w:ind w:left="3960" w:hanging="360"/>
      </w:pPr>
      <w:rPr>
        <w:rFonts w:ascii="Courier New" w:hAnsi="Courier New" w:eastAsia="Courier New" w:cs="Courier New" w:hint="default"/>
      </w:rPr>
    </w:lvl>
    <w:lvl w:ilvl="5">
      <w:start w:val="1"/>
      <w:numFmt w:val="bullet"/>
      <w:suff w:val="tab"/>
      <w:lvlText w:val=""/>
      <w:pPr>
        <w:spacing/>
        <w:ind w:left="4680" w:hanging="360"/>
      </w:pPr>
      <w:rPr>
        <w:rFonts w:ascii="Wingdings" w:hAnsi="Wingdings" w:eastAsia="Wingdings" w:cs="Wingdings" w:hint="default"/>
      </w:rPr>
    </w:lvl>
    <w:lvl w:ilvl="6">
      <w:start w:val="1"/>
      <w:numFmt w:val="bullet"/>
      <w:suff w:val="tab"/>
      <w:lvlText w:val=""/>
      <w:pPr>
        <w:spacing/>
        <w:ind w:left="5400" w:hanging="360"/>
      </w:pPr>
      <w:rPr>
        <w:rFonts w:ascii="Symbol" w:hAnsi="Symbol" w:eastAsia="Symbol" w:cs="Symbol" w:hint="default"/>
      </w:rPr>
    </w:lvl>
    <w:lvl w:ilvl="7">
      <w:start w:val="1"/>
      <w:numFmt w:val="bullet"/>
      <w:suff w:val="tab"/>
      <w:lvlText w:val="o"/>
      <w:pPr>
        <w:spacing/>
        <w:ind w:left="6120" w:hanging="360"/>
      </w:pPr>
      <w:rPr>
        <w:rFonts w:ascii="Courier New" w:hAnsi="Courier New" w:eastAsia="Courier New" w:cs="Courier New" w:hint="default"/>
      </w:rPr>
    </w:lvl>
    <w:lvl w:ilvl="8">
      <w:start w:val="1"/>
      <w:numFmt w:val="bullet"/>
      <w:suff w:val="tab"/>
      <w:lvlText w:val=""/>
      <w:pPr>
        <w:spacing/>
        <w:ind w:left="6840" w:hanging="360"/>
      </w:pPr>
      <w:rPr>
        <w:rFonts w:ascii="Wingdings" w:hAnsi="Wingdings" w:eastAsia="Wingdings" w:cs="Wingdings" w:hint="default"/>
      </w:rPr>
    </w:lvl>
  </w:abstractNum>
  <w:abstractNum w:abstractNumId="31">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2">
    <w:lvl w:ilvl="0">
      <w:start w:val="1"/>
      <w:numFmt w:val="bullet"/>
      <w:suff w:val="tab"/>
      <w:lvlText w:val=""/>
      <w:pPr>
        <w:spacing/>
        <w:ind w:left="720" w:hanging="360"/>
      </w:pPr>
      <w:rPr>
        <w:rFonts w:ascii="Symbol" w:hAnsi="Symbol" w:eastAsia="Symbol" w:cs="Symbol" w:hint="default"/>
      </w:rPr>
    </w:lvl>
    <w:lvl w:ilvl="1">
      <w:start w:val="1"/>
      <w:numFmt w:val="bullet"/>
      <w:suff w:val="tab"/>
      <w:lvlText w:val="o"/>
      <w:pPr>
        <w:spacing/>
        <w:ind w:left="1440" w:hanging="360"/>
      </w:pPr>
      <w:rPr>
        <w:rFonts w:ascii="Courier New" w:hAnsi="Courier New" w:eastAsia="Courier New" w:cs="Courier New" w:hint="default"/>
      </w:rPr>
    </w:lvl>
    <w:lvl w:ilvl="2">
      <w:start w:val="1"/>
      <w:numFmt w:val="bullet"/>
      <w:suff w:val="tab"/>
      <w:lvlText w:val=""/>
      <w:pPr>
        <w:spacing/>
        <w:ind w:left="2160" w:hanging="360"/>
      </w:pPr>
      <w:rPr>
        <w:rFonts w:ascii="Wingdings" w:hAnsi="Wingdings" w:eastAsia="Wingdings" w:cs="Wingdings" w:hint="default"/>
      </w:rPr>
    </w:lvl>
    <w:lvl w:ilvl="3">
      <w:start w:val="1"/>
      <w:numFmt w:val="bullet"/>
      <w:suff w:val="tab"/>
      <w:lvlText w:val=""/>
      <w:pPr>
        <w:spacing/>
        <w:ind w:left="2880" w:hanging="360"/>
      </w:pPr>
      <w:rPr>
        <w:rFonts w:ascii="Symbol" w:hAnsi="Symbol" w:eastAsia="Symbol" w:cs="Symbol" w:hint="default"/>
      </w:rPr>
    </w:lvl>
    <w:lvl w:ilvl="4">
      <w:start w:val="1"/>
      <w:numFmt w:val="bullet"/>
      <w:suff w:val="tab"/>
      <w:lvlText w:val="o"/>
      <w:pPr>
        <w:spacing/>
        <w:ind w:left="3600" w:hanging="360"/>
      </w:pPr>
      <w:rPr>
        <w:rFonts w:ascii="Courier New" w:hAnsi="Courier New" w:eastAsia="Courier New" w:cs="Courier New" w:hint="default"/>
      </w:rPr>
    </w:lvl>
    <w:lvl w:ilvl="5">
      <w:start w:val="1"/>
      <w:numFmt w:val="bullet"/>
      <w:suff w:val="tab"/>
      <w:lvlText w:val=""/>
      <w:pPr>
        <w:spacing/>
        <w:ind w:left="4320" w:hanging="360"/>
      </w:pPr>
      <w:rPr>
        <w:rFonts w:ascii="Wingdings" w:hAnsi="Wingdings" w:eastAsia="Wingdings" w:cs="Wingdings" w:hint="default"/>
      </w:rPr>
    </w:lvl>
    <w:lvl w:ilvl="6">
      <w:start w:val="1"/>
      <w:numFmt w:val="bullet"/>
      <w:suff w:val="tab"/>
      <w:lvlText w:val=""/>
      <w:pPr>
        <w:spacing/>
        <w:ind w:left="5040" w:hanging="360"/>
      </w:pPr>
      <w:rPr>
        <w:rFonts w:ascii="Symbol" w:hAnsi="Symbol" w:eastAsia="Symbol" w:cs="Symbol" w:hint="default"/>
      </w:rPr>
    </w:lvl>
    <w:lvl w:ilvl="7">
      <w:start w:val="1"/>
      <w:numFmt w:val="bullet"/>
      <w:suff w:val="tab"/>
      <w:lvlText w:val="o"/>
      <w:pPr>
        <w:spacing/>
        <w:ind w:left="5760" w:hanging="360"/>
      </w:pPr>
      <w:rPr>
        <w:rFonts w:ascii="Courier New" w:hAnsi="Courier New" w:eastAsia="Courier New" w:cs="Courier New" w:hint="default"/>
      </w:rPr>
    </w:lvl>
    <w:lvl w:ilvl="8">
      <w:start w:val="1"/>
      <w:numFmt w:val="bullet"/>
      <w:suff w:val="tab"/>
      <w:lvlText w:val=""/>
      <w:pPr>
        <w:spacing/>
        <w:ind w:left="6480" w:hanging="360"/>
      </w:pPr>
      <w:rPr>
        <w:rFonts w:ascii="Wingdings" w:hAnsi="Wingdings" w:eastAsia="Wingdings" w:cs="Wingdings" w:hint="default"/>
      </w:rPr>
    </w:lvl>
  </w:abstractNum>
  <w:abstractNum w:abstractNumId="33">
    <w:lvl w:ilvl="0">
      <w:start w:val="1"/>
      <w:numFmt w:val="bullet"/>
      <w:suff w:val="tab"/>
      <w:lvlText w:val=""/>
      <w:pPr>
        <w:spacing/>
        <w:ind w:left="1800" w:hanging="360"/>
      </w:pPr>
      <w:rPr>
        <w:rFonts w:ascii="Symbol" w:hAnsi="Symbol" w:eastAsia="Symbol" w:cs="Symbol" w:hint="default"/>
      </w:rPr>
    </w:lvl>
    <w:lvl w:ilvl="1">
      <w:start w:val="1"/>
      <w:numFmt w:val="bullet"/>
      <w:suff w:val="tab"/>
      <w:lvlText w:val="o"/>
      <w:pPr>
        <w:spacing/>
        <w:ind w:left="2520" w:hanging="360"/>
      </w:pPr>
      <w:rPr>
        <w:rFonts w:ascii="Courier New" w:hAnsi="Courier New" w:eastAsia="Courier New" w:cs="Courier New" w:hint="default"/>
      </w:rPr>
    </w:lvl>
    <w:lvl w:ilvl="2">
      <w:start w:val="1"/>
      <w:numFmt w:val="bullet"/>
      <w:suff w:val="tab"/>
      <w:lvlText w:val=""/>
      <w:pPr>
        <w:spacing/>
        <w:ind w:left="3240" w:hanging="360"/>
      </w:pPr>
      <w:rPr>
        <w:rFonts w:ascii="Wingdings" w:hAnsi="Wingdings" w:eastAsia="Wingdings" w:cs="Wingdings" w:hint="default"/>
      </w:rPr>
    </w:lvl>
    <w:lvl w:ilvl="3">
      <w:start w:val="1"/>
      <w:numFmt w:val="bullet"/>
      <w:suff w:val="tab"/>
      <w:lvlText w:val=""/>
      <w:pPr>
        <w:spacing/>
        <w:ind w:left="3960" w:hanging="360"/>
      </w:pPr>
      <w:rPr>
        <w:rFonts w:ascii="Symbol" w:hAnsi="Symbol" w:eastAsia="Symbol" w:cs="Symbol" w:hint="default"/>
      </w:rPr>
    </w:lvl>
    <w:lvl w:ilvl="4">
      <w:start w:val="1"/>
      <w:numFmt w:val="bullet"/>
      <w:suff w:val="tab"/>
      <w:lvlText w:val="o"/>
      <w:pPr>
        <w:spacing/>
        <w:ind w:left="4680" w:hanging="360"/>
      </w:pPr>
      <w:rPr>
        <w:rFonts w:ascii="Courier New" w:hAnsi="Courier New" w:eastAsia="Courier New" w:cs="Courier New" w:hint="default"/>
      </w:rPr>
    </w:lvl>
    <w:lvl w:ilvl="5">
      <w:start w:val="1"/>
      <w:numFmt w:val="bullet"/>
      <w:suff w:val="tab"/>
      <w:lvlText w:val=""/>
      <w:pPr>
        <w:spacing/>
        <w:ind w:left="5400" w:hanging="360"/>
      </w:pPr>
      <w:rPr>
        <w:rFonts w:ascii="Wingdings" w:hAnsi="Wingdings" w:eastAsia="Wingdings" w:cs="Wingdings" w:hint="default"/>
      </w:rPr>
    </w:lvl>
    <w:lvl w:ilvl="6">
      <w:start w:val="1"/>
      <w:numFmt w:val="bullet"/>
      <w:suff w:val="tab"/>
      <w:lvlText w:val=""/>
      <w:pPr>
        <w:spacing/>
        <w:ind w:left="6120" w:hanging="360"/>
      </w:pPr>
      <w:rPr>
        <w:rFonts w:ascii="Symbol" w:hAnsi="Symbol" w:eastAsia="Symbol" w:cs="Symbol" w:hint="default"/>
      </w:rPr>
    </w:lvl>
    <w:lvl w:ilvl="7">
      <w:start w:val="1"/>
      <w:numFmt w:val="bullet"/>
      <w:suff w:val="tab"/>
      <w:lvlText w:val="o"/>
      <w:pPr>
        <w:spacing/>
        <w:ind w:left="6840" w:hanging="360"/>
      </w:pPr>
      <w:rPr>
        <w:rFonts w:ascii="Courier New" w:hAnsi="Courier New" w:eastAsia="Courier New" w:cs="Courier New" w:hint="default"/>
      </w:rPr>
    </w:lvl>
    <w:lvl w:ilvl="8">
      <w:start w:val="1"/>
      <w:numFmt w:val="bullet"/>
      <w:suff w:val="tab"/>
      <w:lvlText w:val=""/>
      <w:pPr>
        <w:spacing/>
        <w:ind w:left="7560" w:hanging="360"/>
      </w:pPr>
      <w:rPr>
        <w:rFonts w:ascii="Wingdings" w:hAnsi="Wingdings" w:eastAsia="Wingdings" w:cs="Wingdings" w:hint="default"/>
      </w:rPr>
    </w:lvl>
  </w:abstractNum>
  <w:abstractNum w:abstractNumId="34">
    <w:lvl w:ilvl="0">
      <w:start w:val="1"/>
      <w:numFmt w:val="bullet"/>
      <w:suff w:val="tab"/>
      <w:lvlText w:val=""/>
      <w:pPr>
        <w:spacing/>
        <w:ind w:left="360" w:hanging="360"/>
      </w:pPr>
      <w:rPr>
        <w:rFonts w:ascii="Symbol" w:hAnsi="Symbol" w:eastAsia="Symbol" w:cs="Symbol" w:hint="default"/>
      </w:rPr>
    </w:lvl>
    <w:lvl w:ilvl="1">
      <w:start w:val="1"/>
      <w:numFmt w:val="bullet"/>
      <w:suff w:val="tab"/>
      <w:lvlText w:val=""/>
      <w:pPr>
        <w:spacing/>
        <w:ind w:left="360" w:hanging="360"/>
      </w:pPr>
      <w:rPr>
        <w:rFonts w:ascii="Symbol" w:hAnsi="Symbol" w:eastAsia="Symbol" w:cs="Symbol" w:hint="default"/>
      </w:rPr>
    </w:lvl>
    <w:lvl w:ilvl="2">
      <w:start w:val="1"/>
      <w:numFmt w:val="bullet"/>
      <w:suff w:val="tab"/>
      <w:lvlText w:val=""/>
      <w:pPr>
        <w:spacing/>
        <w:ind w:left="1080" w:hanging="360"/>
      </w:pPr>
      <w:rPr>
        <w:rFonts w:ascii="Wingdings" w:hAnsi="Wingdings" w:eastAsia="Wingdings" w:cs="Wingdings" w:hint="default"/>
      </w:rPr>
    </w:lvl>
    <w:lvl w:ilvl="3">
      <w:start w:val="1"/>
      <w:numFmt w:val="bullet"/>
      <w:suff w:val="tab"/>
      <w:lvlText w:val=""/>
      <w:pPr>
        <w:spacing/>
        <w:ind w:left="1800" w:hanging="360"/>
      </w:pPr>
      <w:rPr>
        <w:rFonts w:ascii="Symbol" w:hAnsi="Symbol" w:eastAsia="Symbol" w:cs="Symbol" w:hint="default"/>
      </w:rPr>
    </w:lvl>
    <w:lvl w:ilvl="4">
      <w:start w:val="1"/>
      <w:numFmt w:val="bullet"/>
      <w:suff w:val="tab"/>
      <w:lvlText w:val="o"/>
      <w:pPr>
        <w:spacing/>
        <w:ind w:left="2520" w:hanging="360"/>
      </w:pPr>
      <w:rPr>
        <w:rFonts w:ascii="Courier New" w:hAnsi="Courier New" w:eastAsia="Courier New" w:cs="Courier New" w:hint="default"/>
      </w:rPr>
    </w:lvl>
    <w:lvl w:ilvl="5">
      <w:start w:val="1"/>
      <w:numFmt w:val="bullet"/>
      <w:suff w:val="tab"/>
      <w:lvlText w:val=""/>
      <w:pPr>
        <w:spacing/>
        <w:ind w:left="3240" w:hanging="360"/>
      </w:pPr>
      <w:rPr>
        <w:rFonts w:ascii="Wingdings" w:hAnsi="Wingdings" w:eastAsia="Wingdings" w:cs="Wingdings" w:hint="default"/>
      </w:rPr>
    </w:lvl>
    <w:lvl w:ilvl="6">
      <w:start w:val="1"/>
      <w:numFmt w:val="bullet"/>
      <w:suff w:val="tab"/>
      <w:lvlText w:val=""/>
      <w:pPr>
        <w:spacing/>
        <w:ind w:left="3960" w:hanging="360"/>
      </w:pPr>
      <w:rPr>
        <w:rFonts w:ascii="Symbol" w:hAnsi="Symbol" w:eastAsia="Symbol" w:cs="Symbol" w:hint="default"/>
      </w:rPr>
    </w:lvl>
    <w:lvl w:ilvl="7">
      <w:start w:val="1"/>
      <w:numFmt w:val="bullet"/>
      <w:suff w:val="tab"/>
      <w:lvlText w:val="o"/>
      <w:pPr>
        <w:spacing/>
        <w:ind w:left="4680" w:hanging="360"/>
      </w:pPr>
      <w:rPr>
        <w:rFonts w:ascii="Courier New" w:hAnsi="Courier New" w:eastAsia="Courier New" w:cs="Courier New" w:hint="default"/>
      </w:rPr>
    </w:lvl>
    <w:lvl w:ilvl="8">
      <w:start w:val="1"/>
      <w:numFmt w:val="bullet"/>
      <w:suff w:val="tab"/>
      <w:lvlText w:val=""/>
      <w:pPr>
        <w:spacing/>
        <w:ind w:left="5400" w:hanging="360"/>
      </w:pPr>
      <w:rPr>
        <w:rFonts w:ascii="Wingdings" w:hAnsi="Wingdings" w:eastAsia="Wingdings" w:cs="Wingdings" w:hint="default"/>
      </w:rPr>
    </w:lvl>
  </w:abstractNum>
  <w:abstractNum w:abstractNumId="35">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6">
    <w:lvl w:ilvl="0">
      <w:start w:val="1"/>
      <w:numFmt w:val="bullet"/>
      <w:suff w:val="tab"/>
      <w:lvlText w:val=""/>
      <w:pPr>
        <w:tabs>
          <w:tab w:val="num" w:pos="360"/>
        </w:tabs>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eastAsia="Calibri" w:cs="Calibri"/>
        <w:sz w:val="22"/>
        <w:szCs w:val="22"/>
        <w:lang w:val="en-AU" w:eastAsia="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next w:val="Normal"/>
    <w:qFormat/>
    <w:pPr>
      <w:spacing/>
    </w:pPr>
    <w:rPr>
      <w:sz w:val="24"/>
    </w:rPr>
  </w:style>
  <w:style w:type="paragraph" w:styleId="Heading1">
    <w:name w:val="Heading 1"/>
    <w:basedOn w:val="Normal"/>
    <w:next w:val="Heading1"/>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Heading2"/>
    <w:link w:val="Heading2Char"/>
    <w:unhideWhenUsed/>
    <w:qFormat/>
    <w:pPr>
      <w:keepNext/>
      <w:keepLines/>
      <w:pBdr>
        <w:top w:val="none" w:color="auto" w:sz="0" w:space="0"/>
        <w:left w:val="none" w:color="auto" w:sz="0" w:space="0"/>
        <w:bottom w:val="single" w:color="auto" w:sz="4" w:space="1"/>
        <w:right w:val="none" w:color="auto" w:sz="0" w:space="0"/>
        <w:between w:val="none" w:color="auto" w:sz="0" w:space="0"/>
        <w:bar w:val="none" w:color="auto" w:sz="0" w:space="0"/>
      </w:pBdr>
      <w:spacing w:before="40"/>
      <w:outlineLvl w:val="1"/>
    </w:pPr>
    <w:rPr>
      <w:rFonts w:ascii="Calibri" w:hAnsi="Calibri" w:eastAsia="Calibri" w:cs="Calibri"/>
      <w:color w:val="2F5496"/>
      <w:sz w:val="32"/>
      <w:szCs w:val="26"/>
    </w:rPr>
  </w:style>
  <w:style w:type="paragraph" w:styleId="Heading4">
    <w:name w:val="Heading 4"/>
    <w:basedOn w:val="Normal"/>
    <w:next w:val="Heading4"/>
    <w:link w:val="Heading4Char"/>
    <w:semiHidden/>
    <w:unhideWhenUsed/>
    <w:qFormat/>
    <w:pPr>
      <w:keepNext/>
      <w:keepLines/>
      <w:spacing w:before="40"/>
      <w:outlineLvl w:val="3"/>
    </w:pPr>
    <w:rPr>
      <w:rFonts w:ascii="Calibri Light" w:hAnsi="Calibri Light" w:eastAsia="Calibri Light" w:cs="Calibri Light"/>
      <w:i/>
      <w:iCs/>
      <w:color w:val="2F5496"/>
    </w:rPr>
  </w:style>
  <w:style w:type="character" w:styleId="DefaultParagraphFont" w:default="1">
    <w:name w:val="Default Paragraph Font"/>
    <w:semiHidden/>
    <w:unhideWhenUsed/>
    <w:rPr/>
  </w:style>
  <w:style w:type="table" w:styleId="TableNormal" w:default="1">
    <w:name w:val="Normal Table"/>
    <w:semiHidden/>
    <w:unhideWhenUsed/>
    <w:tblPr>
      <w:tblInd w:w="0" w:type="dxa"/>
      <w:tblCellMar>
        <w:top w:w="0" w:type="dxa"/>
        <w:left w:w="108" w:type="dxa"/>
        <w:bottom w:w="0" w:type="dxa"/>
        <w:right w:w="108" w:type="dxa"/>
      </w:tblCellMar>
    </w:tblPr>
  </w:style>
  <w:style w:type="character" w:styleId="NoList">
    <w:name w:val="No List"/>
    <w:semiHidden/>
    <w:unhideWhenUsed/>
    <w:rPr/>
  </w:style>
  <w:style w:type="paragraph" w:styleId="ListParagraph" w:customStyle="1">
    <w:name w:val="List Paragraph"/>
    <w:basedOn w:val="Normal"/>
    <w:next w:val="ListParagraph"/>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semiHidden/>
    <w:unhideWhenUsed/>
    <w:rPr>
      <w:color w:val="605E5C"/>
      <w:shd w:val="clear" w:color="auto" w:fill="E1DFDD"/>
    </w:rPr>
  </w:style>
  <w:style w:type="table" w:styleId="GridTable4-Accent5" w:customStyle="1">
    <w:name w:val="Grid Table 4 Accent 5"/>
    <w:basedOn w:val="TableNormal"/>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nhideWhenUsed/>
    <w:rPr>
      <w:color w:val="0563C1"/>
      <w:u w:val="single"/>
    </w:rPr>
  </w:style>
  <w:style w:type="paragraph" w:styleId="Header">
    <w:name w:val="Header"/>
    <w:basedOn w:val="Normal"/>
    <w:next w:val="Header"/>
    <w:link w:val="HeaderChar"/>
    <w:unhideWhenUsed/>
    <w:pPr>
      <w:tabs>
        <w:tab w:val="center" w:pos="4513"/>
        <w:tab w:val="right" w:pos="9026"/>
      </w:tabs>
      <w:spacing w:line="240" w:lineRule="auto"/>
    </w:pPr>
    <w:rPr/>
  </w:style>
  <w:style w:type="character" w:styleId="HeaderChar" w:customStyle="1">
    <w:name w:val="Header Char"/>
    <w:basedOn w:val="DefaultParagraphFont"/>
    <w:link w:val="Header"/>
    <w:rPr/>
  </w:style>
  <w:style w:type="paragraph" w:styleId="Footer">
    <w:name w:val="Footer"/>
    <w:basedOn w:val="Normal"/>
    <w:next w:val="Footer"/>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next w:val="No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TOCHeading"/>
    <w:unhideWhenUsed/>
    <w:qFormat/>
    <w:pPr>
      <w:spacing w:before="240" w:line="259" w:lineRule="auto"/>
      <w:outlineLvl w:val="9"/>
    </w:pPr>
    <w:rPr>
      <w:rFonts w:ascii="Calibri Light" w:hAnsi="Calibri Light" w:eastAsia="Calibri Light" w:cs="Calibri Light"/>
      <w:kern w:val="0"/>
      <w:sz w:val="32"/>
      <w:szCs w:val="32"/>
      <w:lang w:eastAsia="en-US"/>
      <w14:ligatures w14:val="none"/>
    </w:rPr>
  </w:style>
  <w:style w:type="paragraph" w:styleId="TOC1">
    <w:name w:val="TOC 1"/>
    <w:basedOn w:val="Normal"/>
    <w:next w:val="TOC1"/>
    <w:unhideWhenUsed/>
    <w:pPr>
      <w:spacing w:after="100"/>
    </w:pPr>
    <w:rPr/>
  </w:style>
  <w:style w:type="paragraph" w:styleId="BalloonText">
    <w:name w:val="Balloon Text"/>
    <w:basedOn w:val="Normal"/>
    <w:next w:val="BalloonText"/>
    <w:link w:val="BalloonTextChar"/>
    <w:semiHidden/>
    <w:unhideWhenUsed/>
    <w:pPr>
      <w:spacing w:line="240" w:lineRule="auto"/>
    </w:pPr>
    <w:rPr>
      <w:rFonts w:ascii="Segoe UI" w:hAnsi="Segoe UI" w:eastAsia="Segoe UI" w:cs="Segoe UI"/>
      <w:sz w:val="18"/>
      <w:szCs w:val="18"/>
    </w:rPr>
  </w:style>
  <w:style w:type="character" w:styleId="BalloonTextChar" w:customStyle="1">
    <w:name w:val="Balloon Text Char"/>
    <w:basedOn w:val="DefaultParagraphFont"/>
    <w:link w:val="BalloonText"/>
    <w:semiHidden/>
    <w:rPr>
      <w:rFonts w:ascii="Segoe UI" w:hAnsi="Segoe UI" w:eastAsia="Segoe UI" w:cs="Segoe UI"/>
      <w:sz w:val="18"/>
      <w:szCs w:val="18"/>
    </w:rPr>
  </w:style>
  <w:style w:type="character" w:styleId="CommentReference" w:customStyle="1">
    <w:name w:val="annotation reference"/>
    <w:basedOn w:val="DefaultParagraphFont"/>
    <w:semiHidden/>
    <w:unhideWhenUsed/>
    <w:rPr>
      <w:sz w:val="16"/>
      <w:szCs w:val="16"/>
    </w:rPr>
  </w:style>
  <w:style w:type="paragraph" w:styleId="CommentText" w:customStyle="1">
    <w:name w:val="annotation text"/>
    <w:basedOn w:val="Normal"/>
    <w:next w:val="annotationtext"/>
    <w:link w:val="CommentTextChar"/>
    <w:semiHidden/>
    <w:unhideWhenUsed/>
    <w:pPr>
      <w:spacing w:line="240" w:lineRule="auto"/>
    </w:pPr>
    <w:rPr>
      <w:sz w:val="20"/>
      <w:szCs w:val="20"/>
    </w:rPr>
  </w:style>
  <w:style w:type="character" w:styleId="CommentTextChar" w:customStyle="1">
    <w:name w:val="Comment Text Char"/>
    <w:basedOn w:val="DefaultParagraphFont"/>
    <w:link w:val="annotationtext"/>
    <w:semiHidden/>
    <w:rPr>
      <w:sz w:val="20"/>
      <w:szCs w:val="20"/>
    </w:rPr>
  </w:style>
  <w:style w:type="paragraph" w:styleId="CommentSubject" w:customStyle="1">
    <w:name w:val="annotation subject"/>
    <w:basedOn w:val="CommentText"/>
    <w:next w:val="annotationsubject"/>
    <w:link w:val="CommentSubjectChar"/>
    <w:semiHidden/>
    <w:unhideWhenUsed/>
    <w:pPr>
      <w:spacing/>
    </w:pPr>
    <w:rPr>
      <w:b/>
      <w:bCs/>
    </w:rPr>
  </w:style>
  <w:style w:type="character" w:styleId="CommentSubjectChar" w:customStyle="1">
    <w:name w:val="Comment Subject Char"/>
    <w:basedOn w:val="CommentTextChar"/>
    <w:link w:val="annotationsubject"/>
    <w:semiHidden/>
    <w:rPr>
      <w:b/>
      <w:bCs/>
      <w:sz w:val="20"/>
      <w:szCs w:val="20"/>
    </w:rPr>
  </w:style>
  <w:style w:type="table" w:styleId="ListTable4-Accent1" w:customStyle="1">
    <w:name w:val="List Table 4 Accent 1"/>
    <w:basedOn w:val="TableNormal"/>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semiHidden/>
    <w:rPr>
      <w:rFonts w:ascii="Calibri Light" w:hAnsi="Calibri Light" w:eastAsia="Calibri Light" w:cs="Calibri Light"/>
      <w:i/>
      <w:iCs/>
      <w:color w:val="2F5496"/>
    </w:rPr>
  </w:style>
  <w:style w:type="paragraph" w:styleId="NormalWeb">
    <w:name w:val="Normal (Web)"/>
    <w:basedOn w:val="Normal"/>
    <w:next w:val="Normal(Web)"/>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rPr>
      <w:rFonts w:ascii="Calibri" w:hAnsi="Calibri" w:eastAsia="Calibri" w:cs="Calibri"/>
      <w:color w:val="2F5496"/>
      <w:sz w:val="32"/>
      <w:szCs w:val="26"/>
    </w:rPr>
  </w:style>
  <w:style w:type="paragraph" w:styleId="TOC2">
    <w:name w:val="TOC 2"/>
    <w:basedOn w:val="Normal"/>
    <w:next w:val="TOC2"/>
    <w:unhideWhenUsed/>
    <w:pPr>
      <w:spacing w:after="100"/>
      <w:ind w:left="220"/>
    </w:pPr>
    <w:rPr/>
  </w:style>
  <w:style w:type="paragraph" w:styleId="ListBullet">
    <w:name w:val="List Bullet"/>
    <w:basedOn w:val="Normal"/>
    <w:next w:val="ListBullet"/>
    <w:unhideWhenUsed/>
    <w:numPr>
      <w:ilvl w:val="0"/>
      <w:numId w:val="12"/>
    </w:numPr>
    <w:pPr>
      <w:numPr>
        <w:ilvl w:val="0"/>
        <w:numId w:val="12"/>
      </w:numPr>
      <w:spacing/>
      <w:ind w:left="357" w:hanging="357"/>
      <w:contextualSpacing/>
    </w:pPr>
    <w:rPr/>
  </w:style>
  <w:style w:type="paragraph" w:styleId="ListBullet2">
    <w:name w:val="List Bullet 2"/>
    <w:basedOn w:val="Normal"/>
    <w:next w:val="ListBullet2"/>
    <w:unhideWhenUsed/>
    <w:numPr>
      <w:ilvl w:val="0"/>
      <w:numId w:val="10"/>
    </w:numPr>
    <w:pPr>
      <w:numPr>
        <w:ilvl w:val="0"/>
        <w:numId w:val="10"/>
      </w:numPr>
      <w:spacing/>
      <w:contextualSpacing/>
    </w:pPr>
    <w:rPr/>
  </w:style>
  <w:style w:type="paragraph" w:styleId="List5">
    <w:name w:val="List 5"/>
    <w:basedOn w:val="Normal"/>
    <w:next w:val="List5"/>
    <w:semiHidden/>
    <w:unhideWhenUsed/>
    <w:numPr>
      <w:ilvl w:val="0"/>
      <w:numId w:val="27"/>
    </w:numPr>
    <w:pPr>
      <w:numPr>
        <w:ilvl w:val="0"/>
        <w:numId w:val="27"/>
      </w:numPr>
      <w:spacing/>
      <w:contextualSpacing/>
    </w:pPr>
    <w:rPr/>
  </w:style>
  <w:style w:type="paragraph" w:styleId="Subtitle">
    <w:name w:val="Subtitle"/>
    <w:basedOn w:val="Normal"/>
    <w:next w:val="Subtitle"/>
    <w:link w:val="SubtitleChar"/>
    <w:qFormat/>
    <w:numPr>
      <w:ilvl w:val="1"/>
    </w:numPr>
    <w:pPr>
      <w:numPr>
        <w:ilvl w:val="1"/>
      </w:numPr>
      <w:spacing/>
    </w:pPr>
    <w:rPr>
      <w:color w:val="2F5496"/>
      <w:spacing w:val="15"/>
    </w:rPr>
  </w:style>
  <w:style w:type="character" w:styleId="SubtitleChar" w:customStyle="1">
    <w:name w:val="Subtitle Char"/>
    <w:basedOn w:val="DefaultParagraphFont"/>
    <w:link w:val="Subtitle"/>
    <w:rPr>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21" Type="http://schemas.openxmlformats.org/officeDocument/2006/relationships/styles" Target="styles.xml" /><Relationship Id="rId22" Type="http://schemas.openxmlformats.org/officeDocument/2006/relationships/settings" Target="settings.xml" /><Relationship Id="rId23" Type="http://schemas.openxmlformats.org/officeDocument/2006/relationships/theme" Target="theme/theme1.xml" /><Relationship Id="rId24" Type="http://schemas.openxmlformats.org/officeDocument/2006/relationships/numbering" Target="numbering.xml" /><Relationship Id="rId1" Type="http://schemas.openxmlformats.org/officeDocument/2006/relationships/footer" Target="footer1.xml" /><Relationship Id="rId25" Type="http://schemas.openxmlformats.org/officeDocument/2006/relationships/fontTable" Target="fontTable.xml" /><Relationship Id="rId19" Type="http://schemas.openxmlformats.org/officeDocument/2006/relationships/hyperlink" Target="https://www.mcec.com.au/plan-your-visit#accessibility" TargetMode="External" /><Relationship Id="rId26" Type="http://schemas.openxmlformats.org/officeDocument/2006/relationships/customXml" Target="../customXml/item1.xml" /><Relationship Id="rId27" Type="http://schemas.openxmlformats.org/officeDocument/2006/relationships/customXml" Target="../customXml/item2.xml" /><Relationship Id="rId28" Type="http://schemas.openxmlformats.org/officeDocument/2006/relationships/customXml" Target="../customXml/item3.xml" /><Relationship Id="rId29" Type="http://schemas.openxmlformats.org/officeDocument/2006/relationships/customXml" Target="../customXml/item4.xml" /></Relationships>
</file>

<file path=word/_rels/footer1.xml.rels>&#65279;<?xml version="1.0" encoding="utf-8" standalone="yes"?><Relationships xmlns="http://schemas.openxmlformats.org/package/2006/relationships"><Relationship Id="rId20" Type="http://schemas.openxmlformats.org/officeDocument/2006/relationships/image" Target="media/image2.jpeg"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xmlns:a="http://schemas.openxmlformats.org/drawingml/2006/main">
          <a:schemeClr val="phClr"/>
        </a:solidFill>
        <a:gradFill rotWithShape="1">
          <a:gsLst>
            <a:gs xmlns:a="http://schemas.openxmlformats.org/drawingml/2006/main" pos="0">
              <a:schemeClr val="phClr">
                <a:lumMod val="110000"/>
                <a:satMod val="105000"/>
                <a:tint val="67000"/>
              </a:schemeClr>
            </a:gs>
            <a:gs xmlns:a="http://schemas.openxmlformats.org/drawingml/2006/main" pos="50000">
              <a:schemeClr val="phClr">
                <a:lumMod val="105000"/>
                <a:satMod val="103000"/>
                <a:tint val="73000"/>
              </a:schemeClr>
            </a:gs>
            <a:gs xmlns:a="http://schemas.openxmlformats.org/drawingml/2006/main" pos="100000">
              <a:schemeClr val="phClr">
                <a:lumMod val="105000"/>
                <a:satMod val="109000"/>
                <a:tint val="81000"/>
              </a:schemeClr>
            </a:gs>
          </a:gsLst>
          <a:lin ang="5400000" scaled="0"/>
          <a:tileRect/>
        </a:gradFill>
        <a:gradFill rotWithShape="1">
          <a:gsLst>
            <a:gs xmlns:a="http://schemas.openxmlformats.org/drawingml/2006/main" pos="0">
              <a:schemeClr val="phClr">
                <a:satMod val="103000"/>
                <a:lumMod val="102000"/>
                <a:tint val="94000"/>
              </a:schemeClr>
            </a:gs>
            <a:gs xmlns:a="http://schemas.openxmlformats.org/drawingml/2006/main" pos="50000">
              <a:schemeClr val="phClr">
                <a:satMod val="110000"/>
                <a:lumMod val="100000"/>
                <a:shade val="100000"/>
              </a:schemeClr>
            </a:gs>
            <a:gs xmlns:a="http://schemas.openxmlformats.org/drawingml/2006/main" pos="100000">
              <a:schemeClr val="phClr">
                <a:lumMod val="99000"/>
                <a:satMod val="120000"/>
                <a:shade val="78000"/>
              </a:schemeClr>
            </a:gs>
          </a:gsLst>
          <a:lin ang="5400000" scaled="0"/>
          <a:tileRect/>
        </a:gradFill>
      </a:fillStyleLst>
      <a:lnStyleLst>
        <a:ln w="6350" cap="flat" cmpd="sng">
          <a:solidFill xmlns:a="http://schemas.openxmlformats.org/drawingml/2006/main">
            <a:schemeClr val="phClr"/>
          </a:solidFill>
          <a:prstDash val="solid"/>
          <a:miter lim="800000"/>
        </a:ln>
        <a:ln w="12700" cap="flat" cmpd="sng">
          <a:solidFill xmlns:a="http://schemas.openxmlformats.org/drawingml/2006/main">
            <a:schemeClr val="phClr"/>
          </a:solidFill>
          <a:prstDash val="solid"/>
          <a:miter lim="800000"/>
        </a:ln>
        <a:ln w="19050" cap="flat" cmpd="sng">
          <a:solidFill xmlns:a="http://schemas.openxmlformats.org/drawingml/2006/main">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xmlns:a="http://schemas.openxmlformats.org/drawingml/2006/main">
          <a:schemeClr val="phClr"/>
        </a:solidFill>
        <a:solidFill xmlns:a="http://schemas.openxmlformats.org/drawingml/2006/main">
          <a:schemeClr val="phClr">
            <a:tint val="95000"/>
            <a:satMod val="170000"/>
          </a:schemeClr>
        </a:solidFill>
        <a:gradFill rotWithShape="1">
          <a:gsLst>
            <a:gs xmlns:a="http://schemas.openxmlformats.org/drawingml/2006/main" pos="0">
              <a:schemeClr val="phClr">
                <a:tint val="93000"/>
                <a:satMod val="150000"/>
                <a:shade val="98000"/>
                <a:lumMod val="102000"/>
              </a:schemeClr>
            </a:gs>
            <a:gs xmlns:a="http://schemas.openxmlformats.org/drawingml/2006/main" pos="50000">
              <a:schemeClr val="phClr">
                <a:tint val="98000"/>
                <a:satMod val="130000"/>
                <a:shade val="90000"/>
                <a:lumMod val="103000"/>
              </a:schemeClr>
            </a:gs>
            <a:gs xmlns:a="http://schemas.openxmlformats.org/drawingml/2006/main"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Normal.dotm</Template>
  <TotalTime>81</TotalTime>
  <Pages>4</Pages>
  <Words>270</Words>
  <Characters>1544</Characters>
  <Application>Microsoft Office Word</Application>
  <DocSecurity>0</DocSecurity>
  <Lines>12</Lines>
  <Paragraphs>3</Paragraphs>
  <Company/>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Dion DeWet</cp:lastModifiedBy>
  <cp:revision>62</cp:revision>
  <dcterms:created xsi:type="dcterms:W3CDTF">2021-01-13T02:48:00Z</dcterms:created>
  <dcterms:modified xsi:type="dcterms:W3CDTF">2025-02-14T04:02:00Z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