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Melbourne Convention and Exhibition Centre</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 Convention Centre Place</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South Warf</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Swan Li Chew</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0392358000</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enquiries@mcec.com.au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https://mcec.com.au/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2026-07-08 02:34</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Public areas</w:t>
            </w:r>
            <w:r>
              <w:rPr/>
              <w:tab/>
              <w:t xml:space="preserve"/>
            </w:r>
            <w:r>
              <w:rPr/>
              <w:fldChar w:fldCharType="begin"/>
            </w:r>
            <w:r>
              <w:rPr/>
              <w:instrText>PAGEREF _Toc0000000012 \h</w:instrText>
            </w:r>
            <w:r>
              <w:rPr/>
              <w:fldChar w:fldCharType="separate"/>
            </w:r>
            <w:r>
              <w:rPr/>
              <w:t xml:space="preserve">10</w:t>
            </w:r>
            <w:r>
              <w:rPr/>
              <w:fldChar w:fldCharType="end"/>
            </w:r>
          </w:hyperlink>
        </w:p>
        <w:p>
          <w:pPr>
            <w:pStyle w:val="TOC2"/>
            <w:tabs>
              <w:tab w:val="right" w:leader="dot" w:pos="9016"/>
            </w:tabs>
            <w:spacing/>
            <w:rPr/>
          </w:pPr>
          <w:hyperlink w:anchor="_Toc0000000013" w:history="1">
            <w:r>
              <w:rPr>
                <w:rStyle w:val="Hyperlink"/>
              </w:rPr>
              <w:t xml:space="preserve">External Paths</w:t>
            </w:r>
            <w:r>
              <w:rPr/>
              <w:tab/>
              <w:t xml:space="preserve"/>
            </w:r>
            <w:r>
              <w:rPr/>
              <w:fldChar w:fldCharType="begin"/>
            </w:r>
            <w:r>
              <w:rPr/>
              <w:instrText>PAGEREF _Toc0000000013 \h</w:instrText>
            </w:r>
            <w:r>
              <w:rPr/>
              <w:fldChar w:fldCharType="separate"/>
            </w:r>
            <w:r>
              <w:rPr/>
              <w:t xml:space="preserve">10</w:t>
            </w:r>
            <w:r>
              <w:rPr/>
              <w:fldChar w:fldCharType="end"/>
            </w:r>
          </w:hyperlink>
        </w:p>
        <w:p>
          <w:pPr>
            <w:pStyle w:val="TOC2"/>
            <w:tabs>
              <w:tab w:val="right" w:leader="dot" w:pos="9016"/>
            </w:tabs>
            <w:spacing/>
            <w:rPr/>
          </w:pPr>
          <w:hyperlink w:anchor="_Toc0000000014" w:history="1">
            <w:r>
              <w:rPr>
                <w:rStyle w:val="Hyperlink"/>
              </w:rPr>
              <w:t xml:space="preserve">Steps</w:t>
            </w:r>
            <w:r>
              <w:rPr/>
              <w:tab/>
              <w:t xml:space="preserve"/>
            </w:r>
            <w:r>
              <w:rPr/>
              <w:fldChar w:fldCharType="begin"/>
            </w:r>
            <w:r>
              <w:rPr/>
              <w:instrText>PAGEREF _Toc0000000014 \h</w:instrText>
            </w:r>
            <w:r>
              <w:rPr/>
              <w:fldChar w:fldCharType="separate"/>
            </w:r>
            <w:r>
              <w:rPr/>
              <w:t xml:space="preserve">10</w:t>
            </w:r>
            <w:r>
              <w:rPr/>
              <w:fldChar w:fldCharType="end"/>
            </w:r>
          </w:hyperlink>
        </w:p>
        <w:p>
          <w:pPr>
            <w:pStyle w:val="TOC2"/>
            <w:tabs>
              <w:tab w:val="right" w:leader="dot" w:pos="9016"/>
            </w:tabs>
            <w:spacing/>
            <w:rPr/>
          </w:pPr>
          <w:hyperlink w:anchor="_Toc0000000015" w:history="1">
            <w:r>
              <w:rPr>
                <w:rStyle w:val="Hyperlink"/>
              </w:rPr>
              <w:t xml:space="preserve">Ramps</w:t>
            </w:r>
            <w:r>
              <w:rPr/>
              <w:tab/>
              <w:t xml:space="preserve"/>
            </w:r>
            <w:r>
              <w:rPr/>
              <w:fldChar w:fldCharType="begin"/>
            </w:r>
            <w:r>
              <w:rPr/>
              <w:instrText>PAGEREF _Toc0000000015 \h</w:instrText>
            </w:r>
            <w:r>
              <w:rPr/>
              <w:fldChar w:fldCharType="separate"/>
            </w:r>
            <w:r>
              <w:rPr/>
              <w:t xml:space="preserve">10</w:t>
            </w:r>
            <w:r>
              <w:rPr/>
              <w:fldChar w:fldCharType="end"/>
            </w:r>
          </w:hyperlink>
        </w:p>
        <w:p>
          <w:pPr>
            <w:pStyle w:val="TOC2"/>
            <w:tabs>
              <w:tab w:val="right" w:leader="dot" w:pos="9016"/>
            </w:tabs>
            <w:spacing/>
            <w:rPr/>
          </w:pPr>
          <w:hyperlink w:anchor="_Toc0000000016" w:history="1">
            <w:r>
              <w:rPr>
                <w:rStyle w:val="Hyperlink"/>
              </w:rPr>
              <w:t xml:space="preserve">Public Toilets/Adult change facilities</w:t>
            </w:r>
            <w:r>
              <w:rPr/>
              <w:tab/>
              <w:t xml:space="preserve"/>
            </w:r>
            <w:r>
              <w:rPr/>
              <w:fldChar w:fldCharType="begin"/>
            </w:r>
            <w:r>
              <w:rPr/>
              <w:instrText>PAGEREF _Toc0000000016 \h</w:instrText>
            </w:r>
            <w:r>
              <w:rPr/>
              <w:fldChar w:fldCharType="separate"/>
            </w:r>
            <w:r>
              <w:rPr/>
              <w:t xml:space="preserve">11</w:t>
            </w:r>
            <w:r>
              <w:rPr/>
              <w:fldChar w:fldCharType="end"/>
            </w:r>
          </w:hyperlink>
        </w:p>
        <w:p>
          <w:pPr>
            <w:pStyle w:val="TOC2"/>
            <w:tabs>
              <w:tab w:val="right" w:leader="dot" w:pos="9016"/>
            </w:tabs>
            <w:spacing/>
            <w:rPr/>
          </w:pPr>
          <w:hyperlink w:anchor="_Toc0000000017" w:history="1">
            <w:r>
              <w:rPr>
                <w:rStyle w:val="Hyperlink"/>
              </w:rPr>
              <w:t xml:space="preserve">Report Disclaimer</w:t>
            </w:r>
            <w:r>
              <w:rPr/>
              <w:tab/>
              <w:t xml:space="preserve"/>
            </w:r>
            <w:r>
              <w:rPr/>
              <w:fldChar w:fldCharType="begin"/>
            </w:r>
            <w:r>
              <w:rPr/>
              <w:instrText>PAGEREF _Toc0000000017 \h</w:instrText>
            </w:r>
            <w:r>
              <w:rPr/>
              <w:fldChar w:fldCharType="separate"/>
            </w:r>
            <w:r>
              <w:rPr/>
              <w:t xml:space="preserve">13</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Bdr/>
        <w:spacing/>
        <w:rPr>
          <w:sz w:val="24"/>
        </w:rPr>
      </w:pPr>
      <w:r>
        <w:rPr>
          <w:sz w:val="24"/>
        </w:rPr>
        <w:t xml:space="preserve">We ensure exit access is free and clear at all times by: The operations manual, which is provided to event organisers to help plan and deliver their event at MCEC, contains specific instruction to keep access to fire emergency exits, hydrants, electrical cupboards, air returns and sensors at all times. A final inspection is carried out by the MCEC Operations Manager prior to the event opening to ensure all safety requirement are being met, including ensuring emergency exists are clear and accessible.</w:t>
      </w:r>
    </w:p>
    <w:p>
      <w:pPr>
        <w:pStyle w:val="ListBullet"/>
        <w:numPr>
          <w:ilvl w:val="0"/>
          <w:numId w:val="37"/>
        </w:numPr>
        <w:spacing/>
        <w:rPr/>
      </w:pPr>
      <w:r>
        <w:rPr/>
        <w:t xml:space="preserve">There is an emergency refuge that has an intercommunication system linked and has sufficient fire resistance levels.</w:t>
      </w:r>
    </w:p>
    <w:p>
      <w:pPr>
        <w:pStyle w:val="ListBullet"/>
        <w:numPr>
          <w:ilvl w:val="0"/>
          <w:numId w:val="37"/>
        </w:numPr>
        <w:spacing/>
        <w:rPr/>
      </w:pPr>
      <w:r>
        <w:rPr/>
        <w:t xml:space="preserve">Exits including stairwells, have bright edges used on the steps.</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19" w:history="1">
        <w:r>
          <w:rPr>
            <w:rStyle w:val="Hyperlink"/>
            <w:sz w:val="24"/>
          </w:rPr>
          <w:t xml:space="preserve">https://www.mcec.com.au/plan-your-visit#accessibility</w:t>
        </w:r>
      </w:hyperlink>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Braille Displays</w:t>
      </w:r>
    </w:p>
    <w:p>
      <w:pPr>
        <w:pStyle w:val="ListBullet"/>
        <w:numPr>
          <w:ilvl w:val="0"/>
          <w:numId w:val="37"/>
        </w:numPr>
        <w:spacing/>
        <w:rPr/>
      </w:pPr>
      <w:r>
        <w:rPr/>
        <w:t xml:space="preserve">There is easy to read signage and information (e.g. menus and emergency information)</w:t>
      </w:r>
    </w:p>
    <w:p>
      <w:pPr>
        <w:pStyle w:val="ListBullet"/>
        <w:numPr>
          <w:ilvl w:val="0"/>
          <w:numId w:val="37"/>
        </w:numPr>
        <w:spacing/>
        <w:rPr/>
      </w:pPr>
      <w:r>
        <w:rPr/>
        <w:t xml:space="preserve">There is a Pictorial menu</w:t>
      </w:r>
    </w:p>
    <w:p>
      <w:pPr>
        <w:pBdr/>
        <w:spacing/>
        <w:rPr>
          <w:sz w:val="24"/>
        </w:rPr>
      </w:pPr>
      <w:r>
        <w:rPr>
          <w:sz w:val="24"/>
        </w:rPr>
        <w:t xml:space="preserve">Hearing loop in all event spaces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We offer a grassed area with shade, outside our venue. Water is provided as requested The area is not secure, however arrangements could be made for that at the customers request.</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Hearing loop fitted to the reception area</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Bdr/>
        <w:spacing/>
        <w:rPr>
          <w:sz w:val="24"/>
        </w:rPr>
      </w:pPr>
      <w:r>
        <w:rPr>
          <w:sz w:val="24"/>
        </w:rPr>
        <w:t xml:space="preserve">MCEC are not responsible for the sale of any tickets, this is the responsibility of the customer organising the event</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facility map and information is available in Braille</w:t>
      </w:r>
    </w:p>
    <w:p>
      <w:pPr>
        <w:pStyle w:val="ListBullet"/>
        <w:numPr>
          <w:ilvl w:val="0"/>
          <w:numId w:val="37"/>
        </w:numPr>
        <w:spacing/>
        <w:rPr/>
      </w:pPr>
      <w:r>
        <w:rPr/>
        <w:t xml:space="preserve">A familiarisation tour</w:t>
      </w:r>
    </w:p>
    <w:p>
      <w:pPr>
        <w:pBdr/>
        <w:spacing/>
        <w:rPr>
          <w:sz w:val="24"/>
        </w:rPr>
      </w:pPr>
      <w:r>
        <w:rPr>
          <w:sz w:val="24"/>
        </w:rPr>
        <w:t xml:space="preserve">The following steps are in place to ensure that people with fatigue related to their disability are not disadvantaged by long wait times: We can support an event organiser to offer extra seating and quiet spaces. The event organiser is responsible for ticketing and would need to arrange any priority queuing options. Our security personnel can support any requests for priority lines.</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space for parents and children on the Autism Spectrum</w:t>
      </w:r>
    </w:p>
    <w:p>
      <w:pPr>
        <w:pStyle w:val="ListBullet"/>
        <w:numPr>
          <w:ilvl w:val="0"/>
          <w:numId w:val="37"/>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We have two customer service desks plus team members throughout the building which can direct people to public transport.</w:t>
      </w:r>
    </w:p>
    <w:p>
      <w:pPr>
        <w:pStyle w:val="ListBullet"/>
        <w:numPr>
          <w:ilvl w:val="0"/>
          <w:numId w:val="37"/>
        </w:numPr>
        <w:spacing/>
        <w:rPr/>
      </w:pPr>
      <w:r>
        <w:rPr/>
        <w:t xml:space="preserve">Kerb ramps are in place where a pavement or walkway needs to be crossed</w:t>
      </w:r>
    </w:p>
    <w:p>
      <w:pPr>
        <w:pStyle w:val="ListBullet"/>
        <w:numPr>
          <w:ilvl w:val="0"/>
          <w:numId w:val="37"/>
        </w:numPr>
        <w:spacing/>
        <w:rPr/>
      </w:pPr>
      <w:r>
        <w:rPr/>
        <w:t xml:space="preserve">An intercom system is available at the entrance of car park</w:t>
      </w:r>
    </w:p>
    <w:p>
      <w:pPr>
        <w:pStyle w:val="ListBullet"/>
        <w:numPr>
          <w:ilvl w:val="0"/>
          <w:numId w:val="37"/>
        </w:numPr>
        <w:spacing/>
        <w:rPr/>
      </w:pPr>
      <w:r>
        <w:rPr/>
        <w:t xml:space="preserve">Instructions on how to use the system are in Plan English and accompanied by Universal design standard pictures</w:t>
      </w:r>
    </w:p>
    <w:p>
      <w:pPr>
        <w:pStyle w:val="ListBullet"/>
        <w:numPr>
          <w:ilvl w:val="0"/>
          <w:numId w:val="37"/>
        </w:numPr>
        <w:spacing/>
        <w:rPr/>
      </w:pPr>
      <w:r>
        <w:rPr/>
        <w:t xml:space="preserve">In addition, the following further information can assist guests:</w:t>
      </w:r>
    </w:p>
    <w:p>
      <w:pPr>
        <w:spacing/>
        <w:rPr/>
      </w:pPr>
      <w:r>
        <w:rPr/>
        <w:t xml:space="preserve">All automatic pay machines are installed in accordance with all Australian law &amp; Australian standards. This takes into account the card slot, coin slot, cash slot and "help button" heights, visibility, audibility and dimensions. </w:t>
      </w:r>
    </w:p>
    <w:p>
      <w:pPr>
        <w:pStyle w:val="Subtitle"/>
        <w:spacing/>
        <w:rPr/>
      </w:pPr>
      <w:r>
        <w:rPr/>
        <w:t xml:space="preserve">Lift Location: Exhibition Building - behind the Customer Service Desk</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 control button heights are between 900mm and 1200mm</w:t>
      </w:r>
    </w:p>
    <w:p>
      <w:pPr>
        <w:pStyle w:val="ListBullet"/>
        <w:numPr>
          <w:ilvl w:val="0"/>
          <w:numId w:val="37"/>
        </w:numPr>
        <w:spacing/>
        <w:rPr/>
      </w:pPr>
      <w:r>
        <w:rPr/>
        <w:t xml:space="preserve">There is a handrail of a minimum length of 600mm</w:t>
      </w:r>
    </w:p>
    <w:p>
      <w:pPr>
        <w:pStyle w:val="Subtitle"/>
        <w:spacing/>
        <w:rPr/>
      </w:pPr>
      <w:r>
        <w:rPr/>
        <w:t xml:space="preserve">Lift Location: Exhibition Building - adjacent stair 1</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audio floor announcements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There is a handrail of a minimum length of 600mm</w:t>
      </w:r>
    </w:p>
    <w:p>
      <w:pPr>
        <w:pStyle w:val="Subtitle"/>
        <w:spacing/>
        <w:rPr/>
      </w:pPr>
      <w:r>
        <w:rPr/>
        <w:t xml:space="preserve">Lift Location: Exhibition Building - adjacent stair 6</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There is a handrail of a minimum length of 600mm</w:t>
      </w:r>
    </w:p>
    <w:p>
      <w:pPr>
        <w:pStyle w:val="Subtitle"/>
        <w:spacing/>
        <w:rPr/>
      </w:pPr>
      <w:r>
        <w:rPr/>
        <w:t xml:space="preserve">Lift Location: Exhibition Building - adjacent stair 10</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There is a handrail of a minimum length of 600mm</w:t>
      </w:r>
    </w:p>
    <w:p>
      <w:pPr>
        <w:pStyle w:val="Subtitle"/>
        <w:spacing/>
        <w:rPr/>
      </w:pPr>
      <w:r>
        <w:rPr/>
        <w:t xml:space="preserve">Lift Location: Convention Centre Building - behind Plenary Cafe</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audio floor announcements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There is an external tactile or braille floor indicator near the lift call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 control button heights are between 900mm and 1200mm</w:t>
      </w:r>
    </w:p>
    <w:p>
      <w:pPr>
        <w:pStyle w:val="Subtitle"/>
        <w:spacing/>
        <w:rPr/>
      </w:pPr>
      <w:r>
        <w:rPr/>
        <w:t xml:space="preserve">Lift Location: Convention Centre Building - Adjacent Plenary Door 8</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audio floor announcements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There is an external tactile or braille floor indicator near the lift call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There is a handrail of a minimum length of 600mm</w:t>
      </w:r>
    </w:p>
    <w:p>
      <w:pPr>
        <w:pStyle w:val="Subtitle"/>
        <w:spacing/>
        <w:rPr/>
      </w:pPr>
      <w:r>
        <w:rPr/>
        <w:t xml:space="preserve">Lift Location: Convention Centre Building - Near Lobby Door B Entry facing Pan Pacific Hotl</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There is an external tactile or braille floor indicator near the lift call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There is a handrail of a minimum length of 600mm</w:t>
      </w:r>
    </w:p>
    <w:p>
      <w:pPr>
        <w:pStyle w:val="Subtitle"/>
        <w:spacing/>
        <w:rPr/>
      </w:pPr>
      <w:r>
        <w:rPr/>
        <w:t xml:space="preserve">Lift Location: VIP lift at Plenary </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There is a handrail of a minimum length of 600mm</w:t>
      </w:r>
    </w:p>
    <w:p>
      <w:pPr>
        <w:pStyle w:val="Subtitle"/>
        <w:spacing/>
        <w:rPr/>
      </w:pPr>
      <w:r>
        <w:rPr/>
        <w:t xml:space="preserve">Lift Location: Convention Centre Building - adjacent Goldfields Customer Service Desk</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 control button heights are between 900mm and 1200mm</w:t>
      </w:r>
    </w:p>
    <w:p>
      <w:pPr>
        <w:pStyle w:val="ListBullet"/>
        <w:numPr>
          <w:ilvl w:val="0"/>
          <w:numId w:val="37"/>
        </w:numPr>
        <w:spacing/>
        <w:rPr/>
      </w:pPr>
      <w:r>
        <w:rPr/>
        <w:t xml:space="preserve">There is a handrail of a minimum length of 600mm</w:t>
      </w:r>
    </w:p>
    <w:p>
      <w:pPr>
        <w:spacing/>
        <w:rPr/>
      </w:pPr>
      <w:r>
        <w:rPr/>
        <w:t xml:space="preserve"> </w:t>
      </w:r>
    </w:p>
    <w:p>
      <w:pPr>
        <w:pStyle w:val="Heading2"/>
        <w:spacing/>
        <w:rPr/>
      </w:pPr>
      <w:bookmarkStart w:id="16" w:name="_Toc0000000012"/>
      <w:r>
        <w:rPr/>
        <w:t xml:space="preserve">Public areas</w:t>
      </w:r>
      <w:bookmarkEnd w:id="16"/>
    </w:p>
    <w:p>
      <w:pPr>
        <w:spacing/>
        <w:rPr/>
      </w:pPr>
      <w:r>
        <w:rPr/>
        <w:t xml:space="preserve">The public areas have the following amenities  in place</w:t>
      </w:r>
    </w:p>
    <w:p>
      <w:pPr>
        <w:pStyle w:val="ListBullet"/>
        <w:numPr>
          <w:ilvl w:val="0"/>
          <w:numId w:val="37"/>
        </w:numPr>
        <w:spacing/>
        <w:rPr/>
      </w:pPr>
      <w:r>
        <w:rPr/>
        <w:t xml:space="preserve">Hearing loop symbols are displayed</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Step free routes clearly signed</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Where steps are present are there three steps or less</w:t>
      </w:r>
    </w:p>
    <w:p>
      <w:pPr>
        <w:spacing/>
        <w:rPr/>
      </w:pPr>
      <w:r>
        <w:rPr/>
        <w:t xml:space="preserve"> </w:t>
      </w:r>
    </w:p>
    <w:p>
      <w:pPr>
        <w:pStyle w:val="Heading2"/>
        <w:spacing/>
        <w:rPr/>
      </w:pPr>
      <w:bookmarkStart w:id="19" w:name="_Toc0000000015"/>
      <w:r>
        <w:rPr/>
        <w:t xml:space="preserve">Ramps</w:t>
      </w:r>
      <w:bookmarkEnd w:id="19"/>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Temporary ramps are available</w:t>
      </w:r>
    </w:p>
    <w:p>
      <w:pPr>
        <w:pStyle w:val="ListBullet"/>
        <w:numPr>
          <w:ilvl w:val="0"/>
          <w:numId w:val="37"/>
        </w:numPr>
        <w:spacing/>
        <w:rPr/>
      </w:pPr>
      <w:r>
        <w:rPr/>
        <w:t xml:space="preserve">Temporary ramps are in place for the duration of the guests stay</w:t>
      </w:r>
    </w:p>
    <w:p>
      <w:pPr>
        <w:pStyle w:val="ListBullet"/>
        <w:numPr>
          <w:ilvl w:val="0"/>
          <w:numId w:val="37"/>
        </w:numPr>
        <w:spacing/>
        <w:rPr/>
      </w:pPr>
      <w:r>
        <w:rPr/>
        <w:t xml:space="preserve">Ramps have a raised edge of at least 100mm</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Differs depending on which toilet is used, the minimum clear space is 1500mm.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There is a registered changing places facility</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 Changing Place facility is on the ground floor, centrally located near the customer service desk. Accessible bathrooms are also located throughout the building. </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1" w:name="_Toc0000000017"/>
      <w:r>
        <w:rPr/>
        <w:t xml:space="preserve">Report Disclaimer</w:t>
      </w:r>
      <w:bookmarkEnd w:id="21"/>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 name="Picture 5"/>
              <a:graphic>
                <a:graphicData uri="http://schemas.openxmlformats.org/drawingml/2006/picture">
                  <pic:pic>
                    <pic:nvPicPr>
                      <pic:cNvPr id="0" name="" descr=""/>
                      <pic:cNvPicPr>
                        <a:picLocks noChangeAspect="1" noChangeArrowheads="1"/>
                      </pic:cNvPicPr>
                    </pic:nvPicPr>
                    <pic:blipFill>
                      <a:blip r:embed="rId20"/>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1" Type="http://schemas.openxmlformats.org/officeDocument/2006/relationships/styles" Target="styles.xml" /><Relationship Id="rId22" Type="http://schemas.openxmlformats.org/officeDocument/2006/relationships/settings" Target="settings.xml" /><Relationship Id="rId23" Type="http://schemas.openxmlformats.org/officeDocument/2006/relationships/theme" Target="theme/theme1.xml" /><Relationship Id="rId24" Type="http://schemas.openxmlformats.org/officeDocument/2006/relationships/numbering" Target="numbering.xml" /><Relationship Id="rId1" Type="http://schemas.openxmlformats.org/officeDocument/2006/relationships/footer" Target="footer1.xml" /><Relationship Id="rId25" Type="http://schemas.openxmlformats.org/officeDocument/2006/relationships/fontTable" Target="fontTable.xml" /><Relationship Id="rId19" Type="http://schemas.openxmlformats.org/officeDocument/2006/relationships/hyperlink" Target="https://www.mcec.com.au/plan-your-visit#accessibility" TargetMode="External" /><Relationship Id="rId26" Type="http://schemas.openxmlformats.org/officeDocument/2006/relationships/customXml" Target="../customXml/item1.xml" /><Relationship Id="rId27" Type="http://schemas.openxmlformats.org/officeDocument/2006/relationships/customXml" Target="../customXml/item2.xml" /><Relationship Id="rId28" Type="http://schemas.openxmlformats.org/officeDocument/2006/relationships/customXml" Target="../customXml/item3.xml" /><Relationship Id="rId29"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0"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